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left="-363" w:leftChars="-173" w:right="-315" w:rightChars="-150" w:firstLine="0"/>
        <w:jc w:val="center"/>
        <w:textAlignment w:val="center"/>
        <w:rPr>
          <w:rFonts w:hint="eastAsia" w:ascii="方正小标宋简体" w:eastAsia="方正小标宋简体"/>
          <w:color w:val="FF0000"/>
          <w:spacing w:val="45"/>
          <w:w w:val="55"/>
          <w:sz w:val="144"/>
          <w:szCs w:val="144"/>
        </w:rPr>
      </w:pPr>
      <w:r>
        <w:rPr>
          <w:rFonts w:hint="eastAsia" w:ascii="方正小标宋简体" w:eastAsia="方正小标宋简体"/>
          <w:color w:val="FF0000"/>
          <w:spacing w:val="45"/>
          <w:w w:val="55"/>
          <w:sz w:val="144"/>
          <w:szCs w:val="144"/>
          <w:lang w:val="en-US" w:eastAsia="zh-CN"/>
        </w:rPr>
        <w:t>滕州</w:t>
      </w:r>
      <w:r>
        <w:rPr>
          <w:rFonts w:hint="eastAsia" w:ascii="方正小标宋简体" w:eastAsia="方正小标宋简体"/>
          <w:color w:val="FF0000"/>
          <w:spacing w:val="45"/>
          <w:w w:val="55"/>
          <w:sz w:val="144"/>
          <w:szCs w:val="144"/>
        </w:rPr>
        <w:t>市</w:t>
      </w:r>
      <w:r>
        <w:rPr>
          <w:rFonts w:hint="eastAsia" w:ascii="方正小标宋简体" w:eastAsia="方正小标宋简体"/>
          <w:color w:val="FF0000"/>
          <w:spacing w:val="45"/>
          <w:w w:val="55"/>
          <w:sz w:val="144"/>
          <w:szCs w:val="144"/>
          <w:lang w:eastAsia="zh-CN"/>
        </w:rPr>
        <w:t>应急管理</w:t>
      </w:r>
      <w:r>
        <w:rPr>
          <w:rFonts w:hint="eastAsia" w:ascii="方正小标宋简体" w:eastAsia="方正小标宋简体"/>
          <w:color w:val="FF0000"/>
          <w:spacing w:val="45"/>
          <w:w w:val="55"/>
          <w:sz w:val="144"/>
          <w:szCs w:val="144"/>
        </w:rPr>
        <w:t>局文件</w:t>
      </w:r>
    </w:p>
    <w:p>
      <w:pPr>
        <w:pStyle w:val="2"/>
        <w:ind w:left="0" w:leftChars="0" w:firstLine="0" w:firstLineChars="0"/>
        <w:jc w:val="center"/>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滕</w:t>
      </w:r>
      <w:r>
        <w:rPr>
          <w:rFonts w:hint="eastAsia" w:ascii="仿宋_GB2312" w:hAnsi="仿宋_GB2312" w:eastAsia="仿宋_GB2312" w:cs="仿宋_GB2312"/>
          <w:color w:val="000000"/>
          <w:sz w:val="32"/>
          <w:szCs w:val="32"/>
        </w:rPr>
        <w:t>应急发〔202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10</w:t>
      </w:r>
      <w:r>
        <w:rPr>
          <w:rFonts w:hint="eastAsia" w:ascii="仿宋_GB2312" w:hAnsi="仿宋_GB2312" w:eastAsia="仿宋_GB2312" w:cs="仿宋_GB2312"/>
          <w:color w:val="000000"/>
          <w:sz w:val="32"/>
          <w:szCs w:val="32"/>
        </w:rPr>
        <w:t>号</w:t>
      </w:r>
    </w:p>
    <w:p>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center"/>
        <w:textAlignment w:val="auto"/>
        <w:rPr>
          <w:rFonts w:hint="eastAsia"/>
        </w:rPr>
      </w:pPr>
      <w:r>
        <mc:AlternateContent>
          <mc:Choice Requires="wps">
            <w:drawing>
              <wp:anchor distT="0" distB="0" distL="114300" distR="114300" simplePos="0" relativeHeight="251659264" behindDoc="0" locked="0" layoutInCell="1" allowOverlap="1">
                <wp:simplePos x="0" y="0"/>
                <wp:positionH relativeFrom="page">
                  <wp:posOffset>757555</wp:posOffset>
                </wp:positionH>
                <wp:positionV relativeFrom="page">
                  <wp:posOffset>3883660</wp:posOffset>
                </wp:positionV>
                <wp:extent cx="6172200" cy="0"/>
                <wp:effectExtent l="0" t="11430" r="0" b="17145"/>
                <wp:wrapNone/>
                <wp:docPr id="1" name="直接连接符 1"/>
                <wp:cNvGraphicFramePr/>
                <a:graphic xmlns:a="http://schemas.openxmlformats.org/drawingml/2006/main">
                  <a:graphicData uri="http://schemas.microsoft.com/office/word/2010/wordprocessingShape">
                    <wps:wsp>
                      <wps:cNvCnPr/>
                      <wps:spPr>
                        <a:xfrm>
                          <a:off x="0" y="0"/>
                          <a:ext cx="6172200" cy="0"/>
                        </a:xfrm>
                        <a:prstGeom prst="line">
                          <a:avLst/>
                        </a:prstGeom>
                        <a:ln w="23368" cap="flat" cmpd="sng">
                          <a:solidFill>
                            <a:srgbClr val="FF0000"/>
                          </a:solidFill>
                          <a:prstDash val="solid"/>
                          <a:headEnd type="none" w="med" len="med"/>
                          <a:tailEnd type="none" w="med" len="med"/>
                        </a:ln>
                        <a:effectLst>
                          <a:outerShdw algn="ctr" rotWithShape="0">
                            <a:srgbClr val="C0C0C0"/>
                          </a:outerShdw>
                        </a:effectLst>
                      </wps:spPr>
                      <wps:bodyPr upright="1"/>
                    </wps:wsp>
                  </a:graphicData>
                </a:graphic>
              </wp:anchor>
            </w:drawing>
          </mc:Choice>
          <mc:Fallback>
            <w:pict>
              <v:line id="_x0000_s1026" o:spid="_x0000_s1026" o:spt="20" style="position:absolute;left:0pt;margin-left:59.65pt;margin-top:305.8pt;height:0pt;width:486pt;mso-position-horizontal-relative:page;mso-position-vertical-relative:page;z-index:251659264;mso-width-relative:page;mso-height-relative:page;" filled="f" stroked="t" coordsize="21600,21600" o:gfxdata="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XqQ&#10;BdcAAAAMAQAADwAAAAAAAAABACAAAAAiAAAAZHJzL2Rvd25yZXYueG1sUEsBAhQAFAAAAAgAh07i&#10;QPIOen4jAgAAUAQAAA4AAAAAAAAAAQAgAAAAJgEAAGRycy9lMm9Eb2MueG1sUEsFBgAAAAAGAAYA&#10;WQEAALsFAAAAAA==&#10;">
                <v:fill on="f" focussize="0,0"/>
                <v:stroke weight="1.84pt" color="#FF0000" joinstyle="round"/>
                <v:imagedata o:title=""/>
                <o:lock v:ext="edit" aspectratio="f"/>
                <v:shadow on="t" color="#C0C0C0" offset="0pt,0pt" origin="0f,0f" matrix="65536f,0f,0f,65536f"/>
              </v:line>
            </w:pict>
          </mc:Fallback>
        </mc:AlternateContent>
      </w:r>
    </w:p>
    <w:p>
      <w:pPr>
        <w:keepNext w:val="0"/>
        <w:keepLines w:val="0"/>
        <w:pageBreakBefore w:val="0"/>
        <w:widowControl/>
        <w:kinsoku/>
        <w:wordWrap/>
        <w:topLinePunct w:val="0"/>
        <w:autoSpaceDE/>
        <w:autoSpaceDN/>
        <w:bidi w:val="0"/>
        <w:spacing w:line="520" w:lineRule="exact"/>
        <w:jc w:val="center"/>
        <w:textAlignment w:val="auto"/>
        <w:outlineLvl w:val="0"/>
        <w:rPr>
          <w:rFonts w:hint="eastAsia" w:ascii="方正小标宋简体" w:eastAsia="方正小标宋简体"/>
          <w:spacing w:val="0"/>
          <w:w w:val="100"/>
          <w:position w:val="0"/>
          <w:sz w:val="44"/>
          <w:szCs w:val="44"/>
          <w:lang w:val="en-US" w:eastAsia="zh-CN"/>
        </w:rPr>
      </w:pPr>
      <w:r>
        <w:rPr>
          <w:rFonts w:hint="eastAsia" w:ascii="方正小标宋简体" w:eastAsia="方正小标宋简体"/>
          <w:spacing w:val="0"/>
          <w:w w:val="100"/>
          <w:position w:val="0"/>
          <w:sz w:val="44"/>
          <w:szCs w:val="44"/>
          <w:lang w:val="en-US" w:eastAsia="zh-CN"/>
        </w:rPr>
        <w:t>关于印发《滕州市非煤矿山安全生产治本攻坚</w:t>
      </w:r>
    </w:p>
    <w:p>
      <w:pPr>
        <w:keepNext w:val="0"/>
        <w:keepLines w:val="0"/>
        <w:pageBreakBefore w:val="0"/>
        <w:widowControl/>
        <w:kinsoku/>
        <w:wordWrap/>
        <w:topLinePunct w:val="0"/>
        <w:autoSpaceDE/>
        <w:autoSpaceDN/>
        <w:bidi w:val="0"/>
        <w:spacing w:line="520" w:lineRule="exact"/>
        <w:jc w:val="center"/>
        <w:textAlignment w:val="auto"/>
        <w:outlineLvl w:val="0"/>
        <w:rPr>
          <w:rFonts w:hint="eastAsia" w:ascii="方正小标宋简体" w:hAnsi="微软雅黑" w:eastAsia="方正小标宋简体" w:cs="宋体"/>
          <w:spacing w:val="0"/>
          <w:w w:val="100"/>
          <w:kern w:val="36"/>
          <w:position w:val="0"/>
          <w:sz w:val="44"/>
          <w:szCs w:val="44"/>
        </w:rPr>
      </w:pPr>
      <w:r>
        <w:rPr>
          <w:rFonts w:hint="eastAsia" w:ascii="方正小标宋简体" w:eastAsia="方正小标宋简体"/>
          <w:spacing w:val="0"/>
          <w:w w:val="100"/>
          <w:position w:val="0"/>
          <w:sz w:val="44"/>
          <w:szCs w:val="44"/>
          <w:lang w:val="en-US" w:eastAsia="zh-CN"/>
        </w:rPr>
        <w:t>三年行动实施方案(2024-2026年)》的通知</w:t>
      </w:r>
    </w:p>
    <w:p>
      <w:pPr>
        <w:pStyle w:val="2"/>
        <w:keepNext w:val="0"/>
        <w:keepLines w:val="0"/>
        <w:pageBreakBefore w:val="0"/>
        <w:widowControl w:val="0"/>
        <w:kinsoku/>
        <w:wordWrap/>
        <w:overflowPunct/>
        <w:topLinePunct w:val="0"/>
        <w:autoSpaceDE/>
        <w:autoSpaceDN/>
        <w:bidi w:val="0"/>
        <w:adjustRightInd/>
        <w:snapToGrid/>
        <w:spacing w:after="0" w:line="520" w:lineRule="exact"/>
        <w:ind w:left="0" w:leftChars="0" w:firstLine="0" w:firstLineChars="0"/>
        <w:jc w:val="both"/>
        <w:textAlignment w:val="auto"/>
        <w:rPr>
          <w:rFonts w:hint="eastAsia" w:ascii="仿宋_GB2312" w:hAnsi="仿宋_GB2312" w:eastAsia="仿宋_GB2312" w:cs="仿宋_GB2312"/>
          <w:color w:val="000000"/>
          <w:spacing w:val="0"/>
          <w:w w:val="100"/>
          <w:position w:val="0"/>
          <w:sz w:val="32"/>
          <w:szCs w:val="32"/>
        </w:rPr>
      </w:pPr>
    </w:p>
    <w:p>
      <w:pPr>
        <w:keepNext w:val="0"/>
        <w:keepLines w:val="0"/>
        <w:pageBreakBefore w:val="0"/>
        <w:widowControl/>
        <w:kinsoku/>
        <w:wordWrap/>
        <w:overflowPunct/>
        <w:topLinePunct w:val="0"/>
        <w:autoSpaceDE/>
        <w:autoSpaceDN/>
        <w:bidi w:val="0"/>
        <w:adjustRightInd/>
        <w:snapToGrid/>
        <w:spacing w:line="540" w:lineRule="exact"/>
        <w:jc w:val="both"/>
        <w:textAlignment w:val="auto"/>
        <w:outlineLvl w:val="0"/>
        <w:rPr>
          <w:rFonts w:hint="eastAsia" w:ascii="仿宋_GB2312" w:hAnsi="仿宋_GB2312" w:eastAsia="仿宋_GB2312" w:cs="仿宋_GB2312"/>
          <w:spacing w:val="0"/>
          <w:w w:val="100"/>
          <w:position w:val="0"/>
          <w:sz w:val="32"/>
          <w:szCs w:val="32"/>
          <w:lang w:eastAsia="zh-CN"/>
        </w:rPr>
      </w:pPr>
      <w:r>
        <w:rPr>
          <w:rFonts w:hint="eastAsia" w:ascii="仿宋_GB2312" w:hAnsi="仿宋_GB2312" w:eastAsia="仿宋_GB2312" w:cs="仿宋_GB2312"/>
          <w:spacing w:val="0"/>
          <w:w w:val="100"/>
          <w:position w:val="0"/>
          <w:sz w:val="32"/>
          <w:szCs w:val="32"/>
          <w:lang w:eastAsia="zh-CN"/>
        </w:rPr>
        <w:t>各</w:t>
      </w:r>
      <w:r>
        <w:rPr>
          <w:rFonts w:hint="eastAsia" w:ascii="仿宋_GB2312" w:hAnsi="仿宋_GB2312" w:eastAsia="仿宋_GB2312" w:cs="仿宋_GB2312"/>
          <w:spacing w:val="0"/>
          <w:w w:val="100"/>
          <w:position w:val="0"/>
          <w:sz w:val="32"/>
          <w:szCs w:val="32"/>
          <w:lang w:val="en-US" w:eastAsia="zh-CN"/>
        </w:rPr>
        <w:t>非煤矿山</w:t>
      </w:r>
      <w:r>
        <w:rPr>
          <w:rFonts w:hint="eastAsia" w:ascii="仿宋_GB2312" w:hAnsi="仿宋_GB2312" w:eastAsia="仿宋_GB2312" w:cs="仿宋_GB2312"/>
          <w:spacing w:val="0"/>
          <w:w w:val="100"/>
          <w:position w:val="0"/>
          <w:sz w:val="32"/>
          <w:szCs w:val="32"/>
          <w:lang w:eastAsia="zh-CN"/>
        </w:rPr>
        <w:t>：</w:t>
      </w:r>
    </w:p>
    <w:p>
      <w:pPr>
        <w:pStyle w:val="6"/>
        <w:keepNext w:val="0"/>
        <w:keepLines w:val="0"/>
        <w:pageBreakBefore w:val="0"/>
        <w:kinsoku/>
        <w:wordWrap/>
        <w:overflowPunct w:val="0"/>
        <w:topLinePunct w:val="0"/>
        <w:autoSpaceDE/>
        <w:autoSpaceDN/>
        <w:bidi w:val="0"/>
        <w:adjustRightInd w:val="0"/>
        <w:snapToGrid w:val="0"/>
        <w:spacing w:before="0" w:line="560" w:lineRule="exact"/>
        <w:ind w:firstLine="616" w:firstLineChars="200"/>
        <w:jc w:val="both"/>
        <w:textAlignment w:val="auto"/>
        <w:rPr>
          <w:rFonts w:hint="eastAsia"/>
          <w:snapToGrid w:val="0"/>
          <w:spacing w:val="0"/>
          <w:w w:val="100"/>
          <w:position w:val="0"/>
          <w:lang w:eastAsia="zh-CN"/>
        </w:rPr>
      </w:pPr>
      <w:r>
        <w:rPr>
          <w:rFonts w:hint="eastAsia"/>
          <w:snapToGrid w:val="0"/>
          <w:spacing w:val="-6"/>
          <w:w w:val="100"/>
          <w:position w:val="0"/>
          <w:sz w:val="32"/>
          <w:lang w:eastAsia="zh-CN"/>
        </w:rPr>
        <w:t>为扎实开展非煤矿山领域安全生产治本攻坚三年行动，</w:t>
      </w:r>
      <w:r>
        <w:rPr>
          <w:rFonts w:hint="eastAsia"/>
          <w:snapToGrid w:val="0"/>
          <w:spacing w:val="-6"/>
          <w:w w:val="100"/>
          <w:position w:val="0"/>
          <w:sz w:val="32"/>
          <w:lang w:val="en-US" w:eastAsia="zh-CN"/>
        </w:rPr>
        <w:t>按照《枣庄市应急管理局关于印发&lt;全市非煤矿山安全生产治本攻坚三年行动实施方案(2024-2026年)&gt;的通知》（枣应急发</w:t>
      </w:r>
      <w:r>
        <w:rPr>
          <w:rFonts w:hint="eastAsia"/>
          <w:snapToGrid w:val="0"/>
          <w:spacing w:val="-6"/>
          <w:w w:val="100"/>
          <w:position w:val="0"/>
          <w:sz w:val="32"/>
          <w:lang w:eastAsia="zh-CN"/>
        </w:rPr>
        <w:t>〔202</w:t>
      </w:r>
      <w:r>
        <w:rPr>
          <w:rFonts w:hint="eastAsia"/>
          <w:snapToGrid w:val="0"/>
          <w:spacing w:val="-6"/>
          <w:w w:val="100"/>
          <w:position w:val="0"/>
          <w:sz w:val="32"/>
          <w:lang w:val="en-US" w:eastAsia="zh-CN"/>
        </w:rPr>
        <w:t>4</w:t>
      </w:r>
      <w:r>
        <w:rPr>
          <w:rFonts w:hint="eastAsia"/>
          <w:snapToGrid w:val="0"/>
          <w:spacing w:val="-6"/>
          <w:w w:val="100"/>
          <w:position w:val="0"/>
          <w:sz w:val="32"/>
          <w:lang w:eastAsia="zh-CN"/>
        </w:rPr>
        <w:t>〕</w:t>
      </w:r>
      <w:r>
        <w:rPr>
          <w:rFonts w:hint="eastAsia"/>
          <w:snapToGrid w:val="0"/>
          <w:spacing w:val="-6"/>
          <w:w w:val="100"/>
          <w:position w:val="0"/>
          <w:sz w:val="32"/>
          <w:lang w:val="en-US" w:eastAsia="zh-CN"/>
        </w:rPr>
        <w:t>13</w:t>
      </w:r>
      <w:r>
        <w:rPr>
          <w:rFonts w:hint="eastAsia"/>
          <w:snapToGrid w:val="0"/>
          <w:spacing w:val="-6"/>
          <w:w w:val="100"/>
          <w:position w:val="0"/>
          <w:sz w:val="32"/>
          <w:lang w:eastAsia="zh-CN"/>
        </w:rPr>
        <w:t>号</w:t>
      </w:r>
      <w:r>
        <w:rPr>
          <w:rFonts w:hint="eastAsia"/>
          <w:snapToGrid w:val="0"/>
          <w:spacing w:val="-6"/>
          <w:w w:val="100"/>
          <w:position w:val="0"/>
          <w:sz w:val="32"/>
          <w:lang w:val="en-US" w:eastAsia="zh-CN"/>
        </w:rPr>
        <w:t>）、《滕州市安全生产委员会关于印发&lt;滕州市安全生产治本攻坚三年行动实施方案（2024-2026年）&gt;的通知》（滕安发〔2024〕 6号）要求，</w:t>
      </w:r>
      <w:r>
        <w:rPr>
          <w:rFonts w:hint="eastAsia"/>
          <w:snapToGrid w:val="0"/>
          <w:spacing w:val="-6"/>
          <w:w w:val="100"/>
          <w:position w:val="0"/>
          <w:sz w:val="32"/>
          <w:lang w:eastAsia="zh-CN"/>
        </w:rPr>
        <w:t>市应急管理局制定了《滕州市非煤矿山安全生产治本攻坚三年行动实施方案(2024-2026年)》，现印发给你们，请结合实际认真贯彻执行。</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Times New Roman" w:hAnsi="Times New Roman" w:eastAsia="仿宋_GB2312" w:cs="Times New Roman"/>
          <w:color w:val="auto"/>
          <w:kern w:val="2"/>
          <w:sz w:val="32"/>
          <w:szCs w:val="32"/>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滕州市应急管理局</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2024年3月18日</w:t>
      </w:r>
    </w:p>
    <w:p>
      <w:pPr>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br w:type="page"/>
      </w:r>
    </w:p>
    <w:p>
      <w:pPr>
        <w:keepNext w:val="0"/>
        <w:keepLines w:val="0"/>
        <w:pageBreakBefore w:val="0"/>
        <w:widowControl w:val="0"/>
        <w:kinsoku/>
        <w:wordWrap/>
        <w:overflowPunct w:val="0"/>
        <w:topLinePunct w:val="0"/>
        <w:autoSpaceDE/>
        <w:autoSpaceDN/>
        <w:bidi w:val="0"/>
        <w:adjustRightInd/>
        <w:snapToGrid/>
        <w:spacing w:line="578" w:lineRule="exact"/>
        <w:ind w:right="0" w:rightChars="0"/>
        <w:jc w:val="center"/>
        <w:textAlignment w:val="auto"/>
        <w:outlineLvl w:val="9"/>
        <w:rPr>
          <w:rFonts w:hint="eastAsia" w:ascii="仿宋_GB2312" w:hAnsi="仿宋_GB2312" w:eastAsia="方正小标宋简体" w:cs="方正小标宋简体"/>
          <w:color w:val="000000" w:themeColor="text1"/>
          <w:spacing w:val="0"/>
          <w:w w:val="100"/>
          <w:position w:val="0"/>
          <w:sz w:val="44"/>
          <w:szCs w:val="44"/>
          <w:lang w:val="en-US" w:eastAsia="zh-CN"/>
          <w14:textFill>
            <w14:solidFill>
              <w14:schemeClr w14:val="tx1"/>
            </w14:solidFill>
          </w14:textFill>
        </w:rPr>
      </w:pPr>
    </w:p>
    <w:p>
      <w:pPr>
        <w:keepNext w:val="0"/>
        <w:keepLines w:val="0"/>
        <w:pageBreakBefore w:val="0"/>
        <w:widowControl w:val="0"/>
        <w:kinsoku/>
        <w:wordWrap/>
        <w:overflowPunct w:val="0"/>
        <w:topLinePunct w:val="0"/>
        <w:autoSpaceDE/>
        <w:autoSpaceDN/>
        <w:bidi w:val="0"/>
        <w:adjustRightInd/>
        <w:snapToGrid/>
        <w:spacing w:line="578" w:lineRule="exact"/>
        <w:ind w:right="0" w:rightChars="0"/>
        <w:jc w:val="center"/>
        <w:textAlignment w:val="auto"/>
        <w:outlineLvl w:val="9"/>
        <w:rPr>
          <w:rFonts w:hint="default" w:ascii="仿宋_GB2312" w:hAnsi="仿宋_GB2312" w:eastAsia="方正小标宋简体" w:cs="方正小标宋简体"/>
          <w:color w:val="000000" w:themeColor="text1"/>
          <w:spacing w:val="0"/>
          <w:w w:val="100"/>
          <w:position w:val="0"/>
          <w:sz w:val="44"/>
          <w:szCs w:val="44"/>
          <w14:textFill>
            <w14:solidFill>
              <w14:schemeClr w14:val="tx1"/>
            </w14:solidFill>
          </w14:textFill>
        </w:rPr>
      </w:pPr>
      <w:r>
        <w:rPr>
          <w:rFonts w:hint="eastAsia" w:ascii="仿宋_GB2312" w:hAnsi="仿宋_GB2312" w:eastAsia="方正小标宋简体" w:cs="方正小标宋简体"/>
          <w:color w:val="000000" w:themeColor="text1"/>
          <w:spacing w:val="0"/>
          <w:w w:val="100"/>
          <w:position w:val="0"/>
          <w:sz w:val="44"/>
          <w:szCs w:val="44"/>
          <w:lang w:val="en-US" w:eastAsia="zh-CN"/>
          <w14:textFill>
            <w14:solidFill>
              <w14:schemeClr w14:val="tx1"/>
            </w14:solidFill>
          </w14:textFill>
        </w:rPr>
        <w:t>滕州市</w:t>
      </w:r>
      <w:r>
        <w:rPr>
          <w:rFonts w:hint="default" w:ascii="仿宋_GB2312" w:hAnsi="仿宋_GB2312" w:eastAsia="方正小标宋简体" w:cs="方正小标宋简体"/>
          <w:color w:val="000000" w:themeColor="text1"/>
          <w:spacing w:val="0"/>
          <w:w w:val="100"/>
          <w:position w:val="0"/>
          <w:sz w:val="44"/>
          <w:szCs w:val="44"/>
          <w14:textFill>
            <w14:solidFill>
              <w14:schemeClr w14:val="tx1"/>
            </w14:solidFill>
          </w14:textFill>
        </w:rPr>
        <w:t>非煤矿山安全生产治本攻坚三年行动</w:t>
      </w:r>
    </w:p>
    <w:p>
      <w:pPr>
        <w:keepNext w:val="0"/>
        <w:keepLines w:val="0"/>
        <w:pageBreakBefore w:val="0"/>
        <w:widowControl w:val="0"/>
        <w:kinsoku/>
        <w:wordWrap/>
        <w:overflowPunct w:val="0"/>
        <w:topLinePunct w:val="0"/>
        <w:autoSpaceDE/>
        <w:autoSpaceDN/>
        <w:bidi w:val="0"/>
        <w:adjustRightInd/>
        <w:snapToGrid/>
        <w:spacing w:line="578" w:lineRule="exact"/>
        <w:ind w:right="0" w:rightChars="0"/>
        <w:jc w:val="center"/>
        <w:textAlignment w:val="auto"/>
        <w:outlineLvl w:val="9"/>
        <w:rPr>
          <w:rFonts w:hint="default" w:ascii="仿宋_GB2312" w:hAnsi="仿宋_GB2312" w:eastAsia="方正小标宋简体" w:cs="方正小标宋简体"/>
          <w:color w:val="000000" w:themeColor="text1"/>
          <w:spacing w:val="0"/>
          <w:w w:val="100"/>
          <w:position w:val="0"/>
          <w:sz w:val="44"/>
          <w:szCs w:val="44"/>
          <w14:textFill>
            <w14:solidFill>
              <w14:schemeClr w14:val="tx1"/>
            </w14:solidFill>
          </w14:textFill>
        </w:rPr>
      </w:pPr>
      <w:r>
        <w:rPr>
          <w:rFonts w:hint="default" w:ascii="仿宋_GB2312" w:hAnsi="仿宋_GB2312" w:eastAsia="方正小标宋简体" w:cs="方正小标宋简体"/>
          <w:color w:val="000000" w:themeColor="text1"/>
          <w:spacing w:val="0"/>
          <w:w w:val="100"/>
          <w:position w:val="0"/>
          <w:sz w:val="44"/>
          <w:szCs w:val="44"/>
          <w14:textFill>
            <w14:solidFill>
              <w14:schemeClr w14:val="tx1"/>
            </w14:solidFill>
          </w14:textFill>
        </w:rPr>
        <w:t>实施方案（2024</w:t>
      </w:r>
      <w:r>
        <w:rPr>
          <w:rFonts w:hint="eastAsia" w:ascii="仿宋_GB2312" w:hAnsi="仿宋_GB2312" w:eastAsia="方正小标宋简体" w:cs="方正小标宋简体"/>
          <w:color w:val="000000" w:themeColor="text1"/>
          <w:spacing w:val="0"/>
          <w:w w:val="100"/>
          <w:position w:val="0"/>
          <w:sz w:val="44"/>
          <w:szCs w:val="44"/>
          <w:lang w:val="en-US" w:eastAsia="zh-CN"/>
          <w14:textFill>
            <w14:solidFill>
              <w14:schemeClr w14:val="tx1"/>
            </w14:solidFill>
          </w14:textFill>
        </w:rPr>
        <w:t>-</w:t>
      </w:r>
      <w:r>
        <w:rPr>
          <w:rFonts w:hint="default" w:ascii="仿宋_GB2312" w:hAnsi="仿宋_GB2312" w:eastAsia="方正小标宋简体" w:cs="方正小标宋简体"/>
          <w:color w:val="000000" w:themeColor="text1"/>
          <w:spacing w:val="0"/>
          <w:w w:val="100"/>
          <w:position w:val="0"/>
          <w:sz w:val="44"/>
          <w:szCs w:val="44"/>
          <w14:textFill>
            <w14:solidFill>
              <w14:schemeClr w14:val="tx1"/>
            </w14:solidFill>
          </w14:textFill>
        </w:rPr>
        <w:t>2026年</w:t>
      </w:r>
      <w:r>
        <w:rPr>
          <w:rFonts w:hint="default" w:ascii="仿宋_GB2312" w:hAnsi="仿宋_GB2312" w:eastAsia="方正小标宋简体" w:cs="方正小标宋简体"/>
          <w:color w:val="000000" w:themeColor="text1"/>
          <w:spacing w:val="0"/>
          <w:w w:val="100"/>
          <w:position w:val="0"/>
          <w:sz w:val="44"/>
          <w:szCs w:val="44"/>
          <w:lang w:eastAsia="zh-CN"/>
          <w14:textFill>
            <w14:solidFill>
              <w14:schemeClr w14:val="tx1"/>
            </w14:solidFill>
          </w14:textFill>
        </w:rPr>
        <w:t>）</w:t>
      </w:r>
    </w:p>
    <w:p>
      <w:pPr>
        <w:keepNext w:val="0"/>
        <w:keepLines w:val="0"/>
        <w:pageBreakBefore w:val="0"/>
        <w:widowControl w:val="0"/>
        <w:kinsoku/>
        <w:wordWrap/>
        <w:overflowPunct w:val="0"/>
        <w:topLinePunct w:val="0"/>
        <w:autoSpaceDE/>
        <w:autoSpaceDN/>
        <w:bidi w:val="0"/>
        <w:adjustRightInd/>
        <w:snapToGrid/>
        <w:spacing w:line="578" w:lineRule="exact"/>
        <w:ind w:left="0" w:leftChars="0" w:right="0" w:rightChars="0" w:firstLine="643" w:firstLineChars="200"/>
        <w:jc w:val="both"/>
        <w:textAlignment w:val="auto"/>
        <w:outlineLvl w:val="9"/>
        <w:rPr>
          <w:rFonts w:hint="default" w:ascii="仿宋_GB2312" w:hAnsi="仿宋_GB2312" w:eastAsia="仿宋" w:cs="Times New Roman"/>
          <w:b/>
          <w:bCs/>
          <w:color w:val="000000" w:themeColor="text1"/>
          <w:spacing w:val="0"/>
          <w:w w:val="100"/>
          <w:position w:val="0"/>
          <w:sz w:val="32"/>
          <w:szCs w:val="32"/>
          <w14:textFill>
            <w14:solidFill>
              <w14:schemeClr w14:val="tx1"/>
            </w14:solidFill>
          </w14:textFill>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根据《</w:t>
      </w:r>
      <w:r>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中共中央办公厅 国务院办公厅</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关于进一步加强矿山安全生产工作的实施意见》</w:t>
      </w:r>
      <w:r>
        <w:rPr>
          <w:rFonts w:hint="default" w:ascii="Times New Roman" w:hAnsi="Times New Roman" w:eastAsia="仿宋_GB2312" w:cs="Times New Roman"/>
          <w:b w:val="0"/>
          <w:bCs w:val="0"/>
          <w:color w:val="auto"/>
          <w:spacing w:val="0"/>
          <w:w w:val="100"/>
          <w:position w:val="0"/>
          <w:sz w:val="32"/>
          <w:szCs w:val="32"/>
          <w:highlight w:val="none"/>
        </w:rPr>
        <w:t>《</w:t>
      </w:r>
      <w:r>
        <w:rPr>
          <w:rFonts w:hint="eastAsia" w:ascii="Times New Roman" w:hAnsi="Times New Roman" w:eastAsia="仿宋_GB2312" w:cs="Times New Roman"/>
          <w:b w:val="0"/>
          <w:bCs w:val="0"/>
          <w:color w:val="auto"/>
          <w:spacing w:val="0"/>
          <w:w w:val="100"/>
          <w:position w:val="0"/>
          <w:sz w:val="32"/>
          <w:szCs w:val="32"/>
          <w:highlight w:val="none"/>
          <w:lang w:eastAsia="zh-CN"/>
        </w:rPr>
        <w:t>省政府</w:t>
      </w:r>
      <w:r>
        <w:rPr>
          <w:rFonts w:hint="default" w:ascii="Times New Roman" w:hAnsi="Times New Roman" w:eastAsia="仿宋_GB2312" w:cs="Times New Roman"/>
          <w:b w:val="0"/>
          <w:bCs w:val="0"/>
          <w:color w:val="auto"/>
          <w:spacing w:val="0"/>
          <w:w w:val="100"/>
          <w:position w:val="0"/>
          <w:sz w:val="32"/>
          <w:szCs w:val="32"/>
          <w:highlight w:val="none"/>
        </w:rPr>
        <w:t>安委会关于防范遏制矿山领域重特大生产安全事故的硬措施》</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山东省非煤</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矿山安全生产治本攻坚三年行动</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实施</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方案（2024</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2026年）》《</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枣庄市</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安全生产治本攻坚三年行动</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实施</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方案（2024</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2026年）》</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等</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部署要求，结合全</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市</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非煤矿山安全生产实际，制定本实施方案。</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t>一、总体要求</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以习近平新时代中国特色社会主义思想和习近平</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总书记</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关于安全生产重要论述精神为指引，聚焦</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两个根本</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要求，</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紧密</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围绕拧紧压实落细非煤矿山企业安全生产主体责任</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一件事</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”，治设备设施</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规范设置，</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攻</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从业</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人员</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能力</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素质提升</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建设</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非煤矿山精品创建工程。</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利用3年时间持续开展6大整治提升行动，全力落实3</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项重点任务</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77</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条措施要求，系统解决制约非煤矿山安全发展的</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法治观念淡薄、红线意识不强、基层基础薄弱、责任悬空倒挂、落实不严不细、冒险蛮干屡禁不止</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等基础性根源性问题，推动安全治理向事前预防转型，以实际成效体现</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两个至上</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，做到</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两个维护</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t>二、工作目标</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通过三年治本攻坚，实现五个目标：</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（一）法治观念红线意识知行统一。</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深耕厚植</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遵法守规光荣、冒险蛮干可耻</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为核心的企业安全文化，</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七假五超四不三瞒三违两包</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违法违规行为得到有效治理</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，基本实现安全生产治理体系和治理能力现代化</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（二）安全管理责任体系科学高效。</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精准化系统性建立健全以</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安全目标、规章制度、岗位职责、管控措施、分级考核、信息化管理</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为核心的六位一体安全管理责任体系，全链条落实主要负责人到一线人员的岗位责任，做到</w:t>
      </w:r>
      <w:bookmarkStart w:id="0" w:name="_Hlk157446489"/>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人人知责明责、履职尽责</w:t>
      </w:r>
      <w:bookmarkEnd w:id="0"/>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，以源头防控风险保障安全治理模式向事前预防成功转型。</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（三）</w:t>
      </w:r>
      <w:r>
        <w:rPr>
          <w:rFonts w:hint="default" w:ascii="Times New Roman" w:hAnsi="Times New Roman" w:eastAsia="楷体_GB2312" w:cs="Times New Roman"/>
          <w:b w:val="0"/>
          <w:bCs w:val="0"/>
          <w:color w:val="000000" w:themeColor="text1"/>
          <w:spacing w:val="6"/>
          <w:w w:val="100"/>
          <w:kern w:val="0"/>
          <w:position w:val="0"/>
          <w:sz w:val="32"/>
          <w:szCs w:val="32"/>
          <w:highlight w:val="none"/>
          <w:lang w:bidi="ar"/>
          <w14:textFill>
            <w14:solidFill>
              <w14:schemeClr w14:val="tx1"/>
            </w14:solidFill>
          </w14:textFill>
        </w:rPr>
        <w:t>信息化智能化建设提质增效。</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bidi="ar"/>
          <w14:textFill>
            <w14:solidFill>
              <w14:schemeClr w14:val="tx1"/>
            </w14:solidFill>
          </w14:textFill>
        </w:rPr>
        <w:t>非煤矿山安全风险监测预警综合管理系统升级扩能，政企双方使用率达100%，管理效能提高80%以上。通过</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bidi="ar"/>
          <w14:textFill>
            <w14:solidFill>
              <w14:schemeClr w14:val="tx1"/>
            </w14:solidFill>
          </w14:textFill>
        </w:rPr>
        <w:t>机械化自动化智能化</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bidi="ar"/>
          <w14:textFill>
            <w14:solidFill>
              <w14:schemeClr w14:val="tx1"/>
            </w14:solidFill>
          </w14:textFill>
        </w:rPr>
        <w:t>为核心的智能矿山建设，</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eastAsia="zh-CN" w:bidi="ar"/>
          <w14:textFill>
            <w14:solidFill>
              <w14:schemeClr w14:val="tx1"/>
            </w14:solidFill>
          </w14:textFill>
        </w:rPr>
        <w:t>非煤</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bidi="ar"/>
          <w14:textFill>
            <w14:solidFill>
              <w14:schemeClr w14:val="tx1"/>
            </w14:solidFill>
          </w14:textFill>
        </w:rPr>
        <w:t>矿山作业人员下降</w:t>
      </w:r>
      <w:r>
        <w:rPr>
          <w:rFonts w:hint="eastAsia" w:ascii="Times New Roman" w:hAnsi="Times New Roman" w:eastAsia="仿宋_GB2312" w:cs="Times New Roman"/>
          <w:b w:val="0"/>
          <w:bCs w:val="0"/>
          <w:color w:val="000000" w:themeColor="text1"/>
          <w:spacing w:val="6"/>
          <w:w w:val="100"/>
          <w:kern w:val="0"/>
          <w:position w:val="0"/>
          <w:sz w:val="32"/>
          <w:szCs w:val="32"/>
          <w:highlight w:val="none"/>
          <w:lang w:val="en-US" w:eastAsia="zh-CN" w:bidi="ar"/>
          <w14:textFill>
            <w14:solidFill>
              <w14:schemeClr w14:val="tx1"/>
            </w14:solidFill>
          </w14:textFill>
        </w:rPr>
        <w:t>20</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bidi="ar"/>
          <w14:textFill>
            <w14:solidFill>
              <w14:schemeClr w14:val="tx1"/>
            </w14:solidFill>
          </w14:textFill>
        </w:rPr>
        <w:t>%</w:t>
      </w:r>
      <w:r>
        <w:rPr>
          <w:rFonts w:hint="eastAsia" w:ascii="Times New Roman" w:hAnsi="Times New Roman" w:eastAsia="仿宋_GB2312" w:cs="Times New Roman"/>
          <w:b w:val="0"/>
          <w:bCs w:val="0"/>
          <w:color w:val="000000" w:themeColor="text1"/>
          <w:spacing w:val="6"/>
          <w:w w:val="100"/>
          <w:kern w:val="0"/>
          <w:position w:val="0"/>
          <w:sz w:val="32"/>
          <w:szCs w:val="32"/>
          <w:highlight w:val="none"/>
          <w:lang w:eastAsia="zh-CN" w:bidi="ar"/>
          <w14:textFill>
            <w14:solidFill>
              <w14:schemeClr w14:val="tx1"/>
            </w14:solidFill>
          </w14:textFill>
        </w:rPr>
        <w:t>左右</w:t>
      </w:r>
      <w:r>
        <w:rPr>
          <w:rFonts w:hint="default" w:ascii="Times New Roman" w:hAnsi="Times New Roman" w:eastAsia="仿宋_GB2312" w:cs="Times New Roman"/>
          <w:b w:val="0"/>
          <w:bCs w:val="0"/>
          <w:color w:val="000000" w:themeColor="text1"/>
          <w:spacing w:val="6"/>
          <w:w w:val="100"/>
          <w:kern w:val="0"/>
          <w:position w:val="0"/>
          <w:sz w:val="32"/>
          <w:szCs w:val="32"/>
          <w:highlight w:val="none"/>
          <w:lang w:bidi="ar"/>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（四）安全监管监督效能充分发挥。</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常态化开展调查研究，关注终端、接触末梢，找准痛点堵点难点，总结典型经验，持续提高风险隐患排查质量，切实提升发现问题和解决问题的强烈意愿、能力水平，坚持政企</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双向奔赴、亲清统一</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，把问题隐患解决在基层一线。</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（五）生产安全责任事故持续下降。</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常态化开展隐蔽致灾因素</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普</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查治理和重大事故隐患动态清零，杜绝</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各类</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生产安全事故，以高水平安全保障高质量发展。</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t>三、主要任务</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楷体_GB2312" w:cs="Times New Roman"/>
          <w:b/>
          <w:bCs/>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（一）实施企业安全生产主体责任落实量化提升行动</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楷体_GB2312" w:cs="Times New Roman"/>
          <w:b w:val="0"/>
          <w:bCs w:val="0"/>
          <w:color w:val="000000" w:themeColor="text1"/>
          <w:spacing w:val="0"/>
          <w:w w:val="100"/>
          <w:kern w:val="0"/>
          <w:position w:val="0"/>
          <w:sz w:val="32"/>
          <w:szCs w:val="32"/>
          <w:highlight w:val="yellow"/>
          <w:lang w:bidi="ar"/>
          <w14:textFill>
            <w14:solidFill>
              <w14:schemeClr w14:val="tx1"/>
            </w14:solidFill>
          </w14:textFill>
        </w:rPr>
      </w:pP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开展</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企业主体责任落实量化提升行动，贯穿安全生产治本攻坚三年行动全过程</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kern w:val="0"/>
          <w:position w:val="0"/>
          <w:sz w:val="32"/>
          <w:szCs w:val="32"/>
          <w:highlight w:val="none"/>
          <w:lang w:eastAsia="zh-CN" w:bidi="ar"/>
          <w14:textFill>
            <w14:solidFill>
              <w14:schemeClr w14:val="tx1"/>
            </w14:solidFill>
          </w14:textFill>
        </w:rPr>
        <w:t>所有矿山及上级企业要</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聚力抓实以下</w:t>
      </w:r>
      <w:r>
        <w:rPr>
          <w:rFonts w:hint="eastAsia" w:ascii="Times New Roman" w:hAnsi="Times New Roman" w:eastAsia="仿宋_GB2312" w:cs="Times New Roman"/>
          <w:b w:val="0"/>
          <w:bCs w:val="0"/>
          <w:color w:val="000000" w:themeColor="text1"/>
          <w:spacing w:val="0"/>
          <w:w w:val="100"/>
          <w:kern w:val="0"/>
          <w:position w:val="0"/>
          <w:sz w:val="32"/>
          <w:szCs w:val="32"/>
          <w:highlight w:val="none"/>
          <w:lang w:val="en-US" w:eastAsia="zh-CN" w:bidi="ar"/>
          <w14:textFill>
            <w14:solidFill>
              <w14:schemeClr w14:val="tx1"/>
            </w14:solidFill>
          </w14:textFill>
        </w:rPr>
        <w:t>13</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项重点任务</w:t>
      </w:r>
      <w:r>
        <w:rPr>
          <w:rFonts w:hint="eastAsia" w:ascii="Times New Roman" w:hAnsi="Times New Roman" w:eastAsia="仿宋_GB2312" w:cs="Times New Roman"/>
          <w:b w:val="0"/>
          <w:bCs w:val="0"/>
          <w:color w:val="000000" w:themeColor="text1"/>
          <w:spacing w:val="0"/>
          <w:w w:val="100"/>
          <w:kern w:val="0"/>
          <w:position w:val="0"/>
          <w:sz w:val="32"/>
          <w:szCs w:val="32"/>
          <w:highlight w:val="none"/>
          <w:lang w:val="en-US" w:eastAsia="zh-CN" w:bidi="ar"/>
          <w14:textFill>
            <w14:solidFill>
              <w14:schemeClr w14:val="tx1"/>
            </w14:solidFill>
          </w14:textFill>
        </w:rPr>
        <w:t>44</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bidi="ar"/>
          <w14:textFill>
            <w14:solidFill>
              <w14:schemeClr w14:val="tx1"/>
            </w14:solidFill>
          </w14:textFill>
        </w:rPr>
        <w:t>条措施</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1.系统性重构安全管理制度和责任体系。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要以</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深化</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双重预防机制建设</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为统领</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，系统性重构以</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安全目标、规章制度、岗位职责、管控措施、分级考核、信息化管理</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为核心的六位一体全员安全制度责任体系。务必抓实抓细6项工作：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（1）系统性检视查找短板盲区。</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2024年起，每年4月底前，矿山</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和安全总监要组织分管部门、班组主要负责人，系统查摆在</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机构设置、人员配备、制度建设、职责分工、管控措施、应急处置、考核标准、信息化管理</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等方面存在的短板、漏洞和盲区，逐项建立问题台账，研究制定</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立改废</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清单。</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（2）系统性提高管理制度建设质量。</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2024年起，每年5月底前，</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和安全总监要组织分管部门、班组主要负责人对照</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查摆出的</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问题清单逐一整改，系统性健全完善真正服务于生产经营全过程的全链条安全管理制度体系，层层审核后由主要负责人签批实施。</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w:t>
      </w:r>
      <w:bookmarkStart w:id="1" w:name="_Hlk157447286"/>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建立明确清晰的岗位职责清单。</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①逐级逐人划分责任。责任分工做到职责明确、范围清晰，</w:t>
      </w:r>
      <w:bookmarkStart w:id="2" w:name="_Hlk157450262"/>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做到</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横到边、纵到底、全覆盖，</w:t>
      </w:r>
      <w:bookmarkEnd w:id="2"/>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经上</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一</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级负责人审核确认。②逐岗位制定职责清单。全员职责清单要做到责任事项具体，岗位名称准确，责任人、直接管理人和工作（作业）地点明确</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并</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据实及时调整岗位职责清单，岗位职责清单经分管负责人审签后提交安全管理部门。③建立全员责任制清单。安全总监要组织力量逐一审核各部门提报的职责清单，汇总形成全员责任制清单，</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2024年5月底前，</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报主要负责人审签执行。</w:t>
      </w:r>
      <w:bookmarkEnd w:id="1"/>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（4）高质量做实全员岗位管控措施清单。</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要根据《非煤矿山企业安全生产风险分级管控和隐患排查治理细则（暂行）》的相关要求，分专业、分岗位、分工种做实做细管理岗位和作业岗位的措施清单。</w:t>
      </w:r>
      <w:r>
        <w:rPr>
          <w:rFonts w:hint="eastAsia" w:ascii="仿宋_GB2312" w:hAnsi="仿宋_GB2312"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一人多岗</w:t>
      </w:r>
      <w:r>
        <w:rPr>
          <w:rFonts w:hint="eastAsia" w:ascii="仿宋_GB2312" w:hAnsi="仿宋_GB2312"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要逐岗制定措施清单，坚决避免出现一张清单</w:t>
      </w:r>
      <w:r>
        <w:rPr>
          <w:rFonts w:hint="eastAsia" w:ascii="仿宋_GB2312" w:hAnsi="仿宋_GB2312"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管多岗</w:t>
      </w:r>
      <w:r>
        <w:rPr>
          <w:rFonts w:hint="eastAsia" w:ascii="仿宋_GB2312" w:hAnsi="仿宋_GB2312"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的问题。</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2024年5月底前，将更新</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的</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管理制度、全员责任制清单和岗位管控措施清单</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，上传</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至省非煤矿山监测预警综合管理系统并动态维护。</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（5）持续改进提升制度和责任体系质量。</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2024年6月底前，安全总监要依据《山东省非煤矿山双重预防机制建设运行质量</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量化</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清单》，牵头组织开展一次全员岗位责任落实情况考核。2024年12月底，以双重预防机制为核心的安全管理制度责任体系有效实施并持续改进。</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2025年起，</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和安全总监要组织分管部门、班组主要负责人</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依据《山东省非煤矿山双重预防机制建设运行质量</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量化</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清单》，每月开展1次全员岗位责任落实情况考核，督促分管负责人持续完善安全管理制度责任体系。</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（6）持续扩大信息化管理覆盖面。</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2024年底前，</w:t>
      </w:r>
      <w:bookmarkStart w:id="3" w:name="_Hlk157452365"/>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所有非煤矿山</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全部使用移动终端APP运行双重预防机制</w:t>
      </w:r>
      <w:bookmarkEnd w:id="3"/>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；2026年底前，安全治理向事前预防成功转型，深耕厚植</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遵法守规光荣、冒险蛮干可耻</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为核心的企业安全文化，拓展延伸独具特色的企业文化。</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2.以精准培训提高全员安全素养。</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和安全总监严格落实</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一岗双责</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培训责任，保障培训经费，严把培训质量，坚决杜绝</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三违</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行为</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突出4项重点：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（1）强化需求调查，分岗位建立题库。</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5</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月底前，</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要按照</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管什么、学什么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干什么、会什么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缺什么、补什么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的原则，各自提出分管部门和班组人员的培训需求，据实编制岗位考试题库和操作人员实操考试标准。2025年起，每年</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3</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月底前</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更新一次。</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（2）优化培训计划，落实“师带徒”制度。</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202</w:t>
      </w:r>
      <w:r>
        <w:rPr>
          <w:rFonts w:hint="default" w:ascii="仿宋_GB2312" w:hAnsi="仿宋_GB2312"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5</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年起，每年3月底前，</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安全总监要依据培训实际需求，统筹制定</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并完善</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本企业年度教育培训计划、岗位</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考</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试题库和实操考评标准，经逐级审核后，由主要负责人签批实施。对新取得特种作业资格证和新入职人员，</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负责指定师傅并跟班学习至少4个月，经师傅考核合格后方可独立上岗</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，确定师带徒名单后</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5个工作日内要公开公示</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（3）严控过程管理，实施精准培训。</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安全总监要组织安全管理人员严抓实施过程中的每个具体细节，特别要抓细抓实每一课</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谁来讲、讲什么、考什么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等关键环节的审核和监督，综合运用精准培训和考核奖惩等手段，提高从业人员守法意识。</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（4）持续精准“滴灌”，锻造“四个能力”。</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充分运用</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“晨会”</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等形式进行经常性的教育培训，持续提升全员安全素养。2025年底，岗位风险管控能力和应急处置能力明显提高。2026年底，全员具备</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岗位风险识别、管控措施制定、突发事件处置、自救互救逃生</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的能力。</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3.健全完善全链条生产技术管理体系。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抓实以下</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6</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项重点：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（1）强化生产技术管理。</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2024年5月底前，企业要按照规定配备具有相应资格、技术能力和数量的</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安全管理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人员</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eastAsia" w:ascii="Times New Roman" w:hAnsi="Times New Roman" w:eastAsia="仿宋_GB2312" w:cs="Times New Roman"/>
          <w:b w:val="0"/>
          <w:bCs w:val="0"/>
          <w:color w:val="auto"/>
          <w:spacing w:val="0"/>
          <w:w w:val="100"/>
          <w:position w:val="0"/>
          <w:sz w:val="32"/>
          <w:szCs w:val="32"/>
          <w:highlight w:val="none"/>
          <w:u w:val="none"/>
          <w:lang w:val="en-US" w:eastAsia="zh-CN"/>
        </w:rPr>
        <w:t>专职</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技</w:t>
      </w:r>
      <w:r>
        <w:rPr>
          <w:rFonts w:hint="default" w:ascii="Times New Roman" w:hAnsi="Times New Roman" w:eastAsia="仿宋_GB2312" w:cs="Times New Roman"/>
          <w:b w:val="0"/>
          <w:bCs w:val="0"/>
          <w:color w:val="auto"/>
          <w:spacing w:val="0"/>
          <w:w w:val="100"/>
          <w:position w:val="0"/>
          <w:sz w:val="32"/>
          <w:szCs w:val="32"/>
          <w:highlight w:val="none"/>
        </w:rPr>
        <w:t>术人员</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采矿</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、机电、地质</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必须为中专以上矿山</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相关</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专业</w:t>
      </w:r>
      <w:bookmarkStart w:id="4" w:name="_GoBack"/>
      <w:bookmarkEnd w:id="4"/>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,有5年以上矿山一线从业经历）</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和特种作业人员，建立以总工程师为核心的技术管理团队，逾期的一律停产整顿</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）动态更新图纸资料。</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生产矿山应每3个月更新一次与现场实际相符的纸质现状图，基建矿山应每月更新一次与现场实际相符的纸质现状图，且均由主要负责人签字确认、备查。</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）加强安全班组建设。</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常态化开展</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学法规、抓落实、强管理</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活动，加强</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反三违</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教育，严格落实奖惩，做到</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上标准岗、干标准活、交标准班</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4.切实提高隐蔽致灾因素普查治理质量。</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矿山企业特别是地下矿山开采必须坚持地质先行、工程治理。突出3项重点：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（1）提高质量。</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要保障足额的资金投入</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严禁</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纸面排查、纸面治理</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，切实做到超前治理、精准防控。2024年起，生产矿山每年9月底前要完成第二年采掘范围内的隐蔽致灾因素普查；停产矿山复产前要完成3年采掘范围内隐蔽致灾因素的普查</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。对查出的致灾因素，要严格按要求抓好治理，做到超前治理、精准防控</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）风险透明。</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矿山企业要把隐蔽致灾因素普查结果、整改措施、责任部门、责任人和时限要求等及时更新至非煤矿山预警管理系统，可视化精准管理。2026年底，</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露天</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矿山实现</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透明地质</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管理。</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5.常态化实施重大事故隐患排查治理。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和安全总监要切实强化</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隐患即事故</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理念，持续保持重大事故隐患动态清零，凡自查发现、主动上报、及时整改和已调查处理的，监管监察部门不再处罚。突出3项重点：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（1）常态化制度化排查。</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主要负责人要</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每月组织生产、安全、技术等部门精干力量至少开展1次横到边、纵到底、全要素的重大事故隐患排查，建立台账、跟踪督办，形成重大事故隐患排查治理报告签字备查。</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（2）严格组织调查处理。</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要依规实施重大事故隐患调查处理，找准问题实质，加大奖惩力度，综合采取通报、调岗、辞退等措施，严格责任追究，做到处罚一个、警示一批。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（3）借助技术指导服务。</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技术力量不足的企业，要聘请专家指导排查治理，坚决防止重大事故隐患长期隐藏诱发事故。</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6.持续提高现场应急处置能力。</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企业要立足于</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早</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和</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小</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，强化第一时间、第一现场应急处置，做到早发现、快处置。突出4项重点：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（1）完善预案和手册。</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健全完善矿山断电、着火、边坡</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垮</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塌和人员转移等应急预案和现场处置方案，优化</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处置</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手册，做到有序快速反应、有效有力处置。</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（2）加强应急保障。</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按照</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宁可备而不用、不可用而不备</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的</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原则，据实增补、更换必要的应急救援器材、设备和物资，确保物资配备到位、队伍准备到位</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、维护保养到位</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，关键时刻用得上、能应急。</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（3）强化实战演（训）练。</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要常态化开展多时段、实战化演（训）练，及时评估修订预案和处置方案，达到</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不提前通知、不设定脚本、不预设场景、不预设地点</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能够快速反应、高效处置、安全逃生的目的。</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（4）严防汛期风险。</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按照《山东省非煤矿山企业汛期水害防治工作指导意见》，抓好汛前排查，压实防汛责任，落实防汛措施，严格执行极端天气停产撤人规定。</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7.以“三化建设”助力本质安全。</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主要负责人要把本质安全作为确保安全生产的治本之策，大力推进以</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减员提质增效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为核心的</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三化</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建设。重点落实3项工作：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（1）坚持规划先行。</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2024年5</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月底前，生产矿山要结合当前生产系统布置等实际，优化完善</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三化</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建设三年规划和年度方案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新改扩建矿山要根据《金属非金属矿山新型适用安全技术及装备推广目录（第一批）》的要求和矿体赋存条件，将</w:t>
      </w:r>
      <w:r>
        <w:rPr>
          <w:rFonts w:hint="eastAsia" w:ascii="仿宋_GB2312" w:hAnsi="仿宋_GB2312"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三化</w:t>
      </w:r>
      <w:r>
        <w:rPr>
          <w:rFonts w:hint="eastAsia" w:ascii="仿宋_GB2312" w:hAnsi="仿宋_GB2312"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仿宋_GB2312" w:hAnsi="仿宋_GB2312" w:eastAsia="仿宋_GB2312" w:cs="Times New Roman"/>
          <w:b w:val="0"/>
          <w:bCs w:val="0"/>
          <w:color w:val="000000" w:themeColor="text1"/>
          <w:spacing w:val="0"/>
          <w:w w:val="100"/>
          <w:position w:val="0"/>
          <w:sz w:val="32"/>
          <w:szCs w:val="32"/>
          <w:highlight w:val="none"/>
          <w14:textFill>
            <w14:solidFill>
              <w14:schemeClr w14:val="tx1"/>
            </w14:solidFill>
          </w14:textFill>
        </w:rPr>
        <w:t>建设融入发展规划、经济投入、装备配备等全过程，</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安全设施设计要在采掘工艺、设施设备的选择等方面充分体现先进性、适用性和可靠性。</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2025年起，每年3月底前要调整更新完善</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三化</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建设年度方案</w:t>
      </w:r>
      <w:r>
        <w:rPr>
          <w:rFonts w:hint="default"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（2）加大淘汰落后力度。</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w:t>
      </w:r>
      <w:r>
        <w:rPr>
          <w:rFonts w:hint="default" w:ascii="Times New Roman" w:hAnsi="Times New Roman" w:eastAsia="仿宋_GB2312" w:cs="Times New Roman"/>
          <w:b w:val="0"/>
          <w:bCs w:val="0"/>
          <w:color w:val="000000" w:themeColor="text1"/>
          <w:spacing w:val="0"/>
          <w:w w:val="100"/>
          <w:position w:val="0"/>
          <w:sz w:val="32"/>
          <w:szCs w:val="32"/>
          <w:highlight w:val="none"/>
          <w14:textFill>
            <w14:solidFill>
              <w14:schemeClr w14:val="tx1"/>
            </w14:solidFill>
          </w14:textFill>
        </w:rPr>
        <w:t>6月底前，凡存在《金属非金属矿山禁止使用的设备及工艺目录（一、二）》规定的设备及工艺的，以及国家标准、行业标准和行政规范性文件明确矿山严禁使用的设备、材料或者工艺的，要强制淘汰、彻底清理。</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（3）提高自动化改造速度。</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在采掘、运输、排水等生产环节加快自动化智能化改造。2026年底前，所有矿山实现机械化连续作业，人员下降20%左右。</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8.着力提高风险监测预警能力。</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企业要根据《非煤矿山企业安全管理信息化建设基本规范（DB37/T4683—2023）》，不断提高风险监测预警能力。重点抓好3项工作：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（1）制定规划。</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5月底前，统筹研究制定可持续的安全风险监测预警综合管理信息化建设三年规划和年度实施计划。2026年做到风险预警精准化、安全管理无纸化，以信息化管理提质增效，降低劳动强度和管理成本，做到风险早发现、早预警、早处置。</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auto"/>
          <w:sz w:val="32"/>
          <w:szCs w:val="32"/>
          <w:highlight w:val="yellow"/>
          <w:u w:val="none"/>
          <w:lang w:eastAsia="zh-CN"/>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）高陡边坡监测联网。</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露天矿山要按照《关于开展金属非金属露天矿山边坡监测系统建设及联网工作的通知》，2024年6月底前，</w:t>
      </w:r>
      <w:r>
        <w:rPr>
          <w:rFonts w:hint="default" w:ascii="Times New Roman" w:hAnsi="Times New Roman" w:eastAsia="仿宋_GB2312" w:cs="Times New Roman"/>
          <w:b w:val="0"/>
          <w:bCs w:val="0"/>
          <w:color w:val="auto"/>
          <w:sz w:val="32"/>
          <w:szCs w:val="32"/>
          <w:highlight w:val="none"/>
          <w:u w:val="none"/>
          <w:lang w:eastAsia="zh-CN"/>
        </w:rPr>
        <w:t>设计边坡高度100米及以上的正常生产建设非煤露天矿山应当完成边坡监测系统建设及联网工作。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9.保障预警管理系统使用质量。</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要严格按照《山东省非煤矿山安全风险监测预警综合管理系统运行管理办法(试行)》的规定，管好用好非煤矿山监测预警管理系统和移动APP，及时处置风险隐患。重点抓好5项工作：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（1）基础数据完整准确、动态更新。</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2024年5月底前，</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董事长（</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总经理</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pacing w:val="0"/>
          <w:w w:val="100"/>
          <w:position w:val="0"/>
          <w:sz w:val="32"/>
          <w:szCs w:val="32"/>
          <w:highlight w:val="none"/>
          <w:lang w:eastAsia="zh-CN"/>
          <w14:textFill>
            <w14:solidFill>
              <w14:schemeClr w14:val="tx1"/>
            </w14:solidFill>
          </w14:textFill>
        </w:rPr>
        <w:t>、生产副总</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和安全总监要组织分管部门</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班组人员完成基础数据的重新审核，并将全员“一岗两清单”和2023年以来重大隐患调查处理报告及处理结果上传至系统。未在规定时限内完成的，一律约谈矿山和上级公司主要负责人并公开曝光。</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（2）移动终端全员配置、凡上岗必应用</w:t>
      </w:r>
      <w:r>
        <w:rPr>
          <w:rFonts w:hint="default" w:ascii="Times New Roman" w:hAnsi="Times New Roman" w:eastAsia="仿宋"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主要负责人要</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组织财务部门</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做好资金预算，2024年10月底前保障全员</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移动终端</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配备到位。</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（3）监测监控数据全量联网</w:t>
      </w:r>
      <w:r>
        <w:rPr>
          <w:rFonts w:hint="default" w:ascii="Times New Roman" w:hAnsi="Times New Roman" w:eastAsia="仿宋"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2024年11月底</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前，要</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完成排水、供电等系统在线监测数据协议改造</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及</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全量视频监控</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并与省系统联网</w:t>
      </w:r>
      <w:r>
        <w:rPr>
          <w:rFonts w:hint="eastAsia"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未在规定时限内完成的，一律约谈矿山和上级公司主要负责人并公开曝光。</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（4）抓好问题闭环处置。</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系统推送的预警报警信息，责任人应当天完成处置</w:t>
      </w:r>
      <w:r>
        <w:rPr>
          <w:rFonts w:hint="default" w:ascii="仿宋_GB2312" w:hAnsi="仿宋_GB2312"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，符合《办法(试行)》第十六、十七条情形的，责任部门、责任人要立即妥善处置</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；对应急部门检查发现的问题，由安全总监当天分配整改任务和责任人并跟踪督办。</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（5）发挥调度员作用。</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2024年3月底前，各矿山调度中心（室）要设置省监测预警系统专席，明确1名人员专人负责巡查和督办推送的预警报警信息。</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pP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10</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.强化基建和施工队伍管理。</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重点抓3项工作：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（1）严格设计审批。</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矿山新改扩建工程必须严格按照批准的设计和施工期限开展项目建设，确需延期的须经原安全设施设计审批部门批准同意，延期时间不超过一年，逾期应当重新履行安全设施设计审查程序。</w:t>
      </w:r>
    </w:p>
    <w:p>
      <w:pPr>
        <w:pStyle w:val="2"/>
        <w:keepNext w:val="0"/>
        <w:keepLines w:val="0"/>
        <w:pageBreakBefore w:val="0"/>
        <w:widowControl w:val="0"/>
        <w:kinsoku/>
        <w:wordWrap/>
        <w:overflowPunct w:val="0"/>
        <w:topLinePunct w:val="0"/>
        <w:autoSpaceDE/>
        <w:autoSpaceDN/>
        <w:bidi w:val="0"/>
        <w:spacing w:after="0"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）严格施工队伍管理。</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严禁承包单位转包和非法分包采掘工程项目；建设工程外包的，要严格审查承包单位项目部负责人、专职技术人员、特种作业人员数量和条件。要对承包单位做到管理、培训、检查、考核、奖惩“五统一”，严禁“以包代管、包而不管”。</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leftChars="0" w:right="0" w:firstLine="643" w:firstLineChars="200"/>
        <w:jc w:val="both"/>
        <w:textAlignment w:val="auto"/>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.分类实施非煤矿山“5+3”标准化建设工程。</w:t>
      </w:r>
      <w:r>
        <w:rPr>
          <w:rFonts w:hint="default" w:ascii="Times New Roman" w:hAnsi="Times New Roman" w:eastAsia="仿宋_GB2312" w:cs="Times New Roman"/>
          <w:b w:val="0"/>
          <w:bCs w:val="0"/>
          <w:color w:val="000000" w:themeColor="text1"/>
          <w:spacing w:val="0"/>
          <w:w w:val="100"/>
          <w:position w:val="0"/>
          <w:sz w:val="32"/>
          <w:szCs w:val="32"/>
          <w:highlight w:val="none"/>
          <w:lang w:val="en-US" w:eastAsia="zh-CN"/>
          <w14:textFill>
            <w14:solidFill>
              <w14:schemeClr w14:val="tx1"/>
            </w14:solidFill>
          </w14:textFill>
        </w:rPr>
        <w:t>重点抓3项工作：</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leftChars="0" w:right="0" w:firstLine="643" w:firstLineChars="200"/>
        <w:jc w:val="both"/>
        <w:textAlignment w:val="auto"/>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（1）优化实施方案。</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根据《关于进一步深化非煤矿山企业安全生产分类分级监督管理工作的实施意见》要求，2024年3月底前，优化细化露天矿山3项建设工程实施方案，由企业主要负责人审批并组织实施。</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leftChars="0" w:right="0" w:firstLine="643" w:firstLineChars="200"/>
        <w:jc w:val="both"/>
        <w:textAlignment w:val="auto"/>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（2）培树标杆企业。</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2024年6月底前，完成</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至少1家</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标准化建设工程标杆企业培树工作，形成典型示范全面推广。</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leftChars="0" w:right="0" w:firstLine="643" w:firstLineChars="200"/>
        <w:jc w:val="both"/>
        <w:textAlignment w:val="auto"/>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（3）全面推进实施。</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2024年9月底前，所有矿山按照实施方案要求完成各项建设工程。</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.强化动火作业全过程管控。</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要严格执行“一项动火作业、一个安全技术措施</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（作业方案）</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、一张动火作业票”制度。重点抓好</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4</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）制定专项措施。</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动火作业前，对作业现场进行安全风险辨识</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，开展</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现场勘察，研究制定专项安全技术措施</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（作业方案）</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，明确时间、地点、方式、内容、人员、流程、应急处置等，按流程审批。</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）保障作业期间安全。</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作业前要对作业现场及作业涉及的设备、设施、工器具等进行全面安全检查。监护人员、作业人员发现动火作业内容与动火作业票不符、安全措施不落实、作业环境不符合安全要求等情况，应立即停止作业。</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）严格作业后检查验收。</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作业结束后的1小时内，要有专人负责检查和清理，确认无遗留火种、阴燃点、杂物、废料。现场监护人员、作业人员和安全管理人员验收签字确认后方可离开现场。</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楷体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eastAsia" w:ascii="Times New Roman" w:hAnsi="Times New Roman" w:eastAsia="楷体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w:t>
      </w:r>
      <w:r>
        <w:rPr>
          <w:rFonts w:hint="default" w:ascii="Times New Roman" w:hAnsi="Times New Roman" w:eastAsia="楷体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）严格节假日、重大活动等期间动火作业</w:t>
      </w:r>
      <w:r>
        <w:rPr>
          <w:rFonts w:hint="eastAsia" w:ascii="Times New Roman" w:hAnsi="Times New Roman" w:eastAsia="楷体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审批和</w:t>
      </w:r>
      <w:r>
        <w:rPr>
          <w:rFonts w:hint="default" w:ascii="Times New Roman" w:hAnsi="Times New Roman" w:eastAsia="楷体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管理。</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.定准责任落实量化提升方向目标。</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重点抓实3项工作：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（1）制定指南。</w:t>
      </w:r>
      <w:r>
        <w:rPr>
          <w:rFonts w:hint="default" w:ascii="Times New Roman" w:hAnsi="Times New Roman" w:eastAsia="仿宋_GB2312" w:cs="Times New Roman"/>
          <w:b w:val="0"/>
          <w:bCs w:val="0"/>
          <w:color w:val="000000" w:themeColor="text1"/>
          <w:spacing w:val="0"/>
          <w:w w:val="100"/>
          <w:kern w:val="0"/>
          <w:position w:val="0"/>
          <w:sz w:val="32"/>
          <w:szCs w:val="32"/>
          <w:highlight w:val="none"/>
          <w:lang w:val="en-US" w:eastAsia="zh-CN" w:bidi="ar"/>
          <w14:textFill>
            <w14:solidFill>
              <w14:schemeClr w14:val="tx1"/>
            </w14:solidFill>
          </w14:textFill>
        </w:rPr>
        <w:t>2024年</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4月底前，矿山及上级企业主要负责人，要组织领导班子和部门负责人认真学习《山东省非煤矿山企业主体责任落实情况量化清单》《山东省非煤矿山“五职”矿长记分清单》《山东省非煤矿山双重预防机制建设运行质量量化清单》，以三张清单为主线，据实制定符合本矿山、本企业的《主体责任落实量化提升三年行动指南》，逐级逐条分解任务、压实责任、对标考核、严控质量。</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（2）一抓到底。</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2024年起，矿山主要负责人要每月对标对表至少组织开展1次自查自改</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矿山上级企业每季度对下属矿山</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考核量化1</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次</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上级企业主要负责人每季度至少检查1家下属企业，分管负责人和安全总监每半年要完成对下属企业的全覆盖检查。</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（3）严格考核。</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矿山及上级企业主要负责人务必带好“施工队”、执行好“进度表”、用好“指挥棒”，以考核促整改助提升。</w:t>
      </w:r>
    </w:p>
    <w:p>
      <w:pPr>
        <w:pStyle w:val="2"/>
        <w:keepNext w:val="0"/>
        <w:keepLines w:val="0"/>
        <w:pageBreakBefore w:val="0"/>
        <w:widowControl w:val="0"/>
        <w:kinsoku/>
        <w:wordWrap/>
        <w:overflowPunct w:val="0"/>
        <w:topLinePunct w:val="0"/>
        <w:autoSpaceDE/>
        <w:autoSpaceDN/>
        <w:bidi w:val="0"/>
        <w:spacing w:after="0" w:line="560" w:lineRule="exact"/>
        <w:ind w:left="0" w:leftChars="0" w:right="0" w:rightChars="0" w:firstLine="640" w:firstLineChars="200"/>
        <w:jc w:val="both"/>
        <w:textAlignment w:val="auto"/>
        <w:outlineLvl w:val="9"/>
        <w:rPr>
          <w:rFonts w:hint="default" w:ascii="Times New Roman" w:hAnsi="Times New Roman" w:eastAsia="楷体_GB2312" w:cs="Times New Roman"/>
          <w:b w:val="0"/>
          <w:bCs w:val="0"/>
          <w:color w:val="000000" w:themeColor="text1"/>
          <w:spacing w:val="0"/>
          <w:w w:val="100"/>
          <w:kern w:val="0"/>
          <w:position w:val="0"/>
          <w:sz w:val="32"/>
          <w:szCs w:val="32"/>
          <w:highlight w:val="none"/>
          <w:lang w:val="en-US" w:eastAsia="zh-CN"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val="en-US" w:eastAsia="zh-CN" w:bidi="ar"/>
          <w14:textFill>
            <w14:solidFill>
              <w14:schemeClr w14:val="tx1"/>
            </w14:solidFill>
          </w14:textFill>
        </w:rPr>
        <w:t>（二）开展非煤矿山重点工程治理行动</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4</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.强力推进双重预防机制建设。</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监管人员要将双重预防机制建设牢牢抓在手上，坚定不移地系统抓、长期抓、抓出实效。重点抓实3方面的工作：</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（1）从思想认识上解决主要负责人“不想、不会、不做”的问题。</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应急部门要利用督查、检查、诊断排查发现的问题，从责任、制度、标准等方面剖析问题根源，引导企业主要负责人正确理解双重预防机制是从源头系统性防范化解安全风险的管理方法，是企业应落实的法定责任，应当带头研究建设思路、途径和方法，付诸于实践。</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（2）以“一岗两清单”为切入点，监督企业提高建设质量</w:t>
      </w:r>
      <w:r>
        <w:rPr>
          <w:rFonts w:hint="default" w:ascii="Times New Roman" w:hAnsi="Times New Roman" w:eastAsia="仿宋"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监管人员要聚焦企业“系统性重构安全管理责任体系”重点工作，常态化开展调查研究，摸清问题症结，找准痛点堵点难点，提高指导监督的专业能力，监督企业做实做细“一岗两清单”。</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（3）定期调度建设进展，及时解决疑难问题</w:t>
      </w:r>
      <w:r>
        <w:rPr>
          <w:rFonts w:hint="default" w:ascii="Times New Roman" w:hAnsi="Times New Roman" w:eastAsia="仿宋" w:cs="Times New Roman"/>
          <w:b/>
          <w:bCs/>
          <w:color w:val="000000" w:themeColor="text1"/>
          <w:spacing w:val="0"/>
          <w:w w:val="100"/>
          <w:kern w:val="0"/>
          <w:position w:val="0"/>
          <w:sz w:val="32"/>
          <w:szCs w:val="32"/>
          <w:highlight w:val="none"/>
          <w:lang w:val="en-US"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监管人员要用好典型企业和专家，通过“谈心对话”“把脉会诊”及时化解企业在实践中遇到的思路不清、步骤不明和措施不实等问题，点对点、面对面从“系统性重构安全管理制度和责任体系”部署的6个方面纠偏，达到精准建设、高效运行的目的。</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5</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.强力提升可视化远程监管能力。</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监管人员要聚力聚焦企业主体责任“着力提高风险监测预警能力和切实保障预警管理系统应用质量”明确的8项任务，采取周调度、月通报的方式，监督企业按照时间节点高质量完成数据治理等工作。重点接续推进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1</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）提高企业端数据质量</w:t>
      </w:r>
      <w:r>
        <w:rPr>
          <w:rFonts w:hint="default" w:ascii="Times New Roman" w:hAnsi="Times New Roman" w:eastAsia="仿宋"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应急部门非煤矿山分管领导要亲自抓，2024年11月底前，确保企业端的数据质量全量提高。</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）提高系统使用率活跃度</w:t>
      </w:r>
      <w:r>
        <w:rPr>
          <w:rFonts w:hint="default" w:ascii="Times New Roman" w:hAnsi="Times New Roman" w:eastAsia="仿宋"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2024年3月底前，应急部门要按照《山东省非煤矿山监测预警综合管理系统运行管理办法（试行）》的相关规定，利用系统实现文件、通知、要求等“一键直达”“精准投送”和跟踪落实，打通部门到企业责任落实的“最后一公里”，发挥“线上智能巡检+线下精准核查”机制作用，精准管控风险。</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strike w:val="0"/>
          <w:dstrike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val="en-US" w:eastAsia="zh-CN" w:bidi="ar"/>
          <w14:textFill>
            <w14:solidFill>
              <w14:schemeClr w14:val="tx1"/>
            </w14:solidFill>
          </w14:textFill>
        </w:rPr>
        <w:t>3</w:t>
      </w: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eastAsia="zh-CN" w:bidi="ar"/>
          <w14:textFill>
            <w14:solidFill>
              <w14:schemeClr w14:val="tx1"/>
            </w14:solidFill>
          </w14:textFill>
        </w:rPr>
        <w:t>实现系统深度应用</w:t>
      </w:r>
      <w:r>
        <w:rPr>
          <w:rFonts w:hint="default" w:ascii="Times New Roman" w:hAnsi="Times New Roman" w:eastAsia="仿宋" w:cs="Times New Roman"/>
          <w:b/>
          <w:bCs/>
          <w:strike w:val="0"/>
          <w:dstrike w:val="0"/>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strike w:val="0"/>
          <w:dstrike w:val="0"/>
          <w:color w:val="000000" w:themeColor="text1"/>
          <w:spacing w:val="0"/>
          <w:w w:val="100"/>
          <w:kern w:val="2"/>
          <w:position w:val="0"/>
          <w:sz w:val="32"/>
          <w:szCs w:val="32"/>
          <w:highlight w:val="none"/>
          <w:lang w:val="en-US" w:eastAsia="zh-CN" w:bidi="ar-SA"/>
          <w14:textFill>
            <w14:solidFill>
              <w14:schemeClr w14:val="tx1"/>
            </w14:solidFill>
          </w14:textFill>
        </w:rPr>
        <w:t>2025年底前，实现从工作部署到办理结果的全过程可视化跟踪。2026年底前，实现全市非煤矿山关键地点、重点部位重大安全风险实时监测、及时识别和精准研判。</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6</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.强力推进隐蔽致灾因素普查治理</w:t>
      </w:r>
      <w:r>
        <w:rPr>
          <w:rFonts w:hint="default" w:ascii="Times New Roman" w:hAnsi="Times New Roman" w:eastAsia="仿宋"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重点落实3项工作：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（1）</w:t>
      </w:r>
      <w:r>
        <w:rPr>
          <w:rFonts w:hint="default"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严格落实普查标准。</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督促企业以《矿山隐蔽致灾因素普查规范》为基础，查全查清查实隐蔽致灾因素，聚力研究“怎么治、治到什么程度”的具体措施要求，全力提高非煤矿山隐蔽致灾因素普查治理质量，全链条压实企业主体责任和部门监管责任。</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）防控区域性风险</w:t>
      </w:r>
      <w:r>
        <w:rPr>
          <w:rFonts w:hint="default" w:ascii="Times New Roman" w:hAnsi="Times New Roman" w:eastAsia="仿宋" w:cs="Times New Roman"/>
          <w:b/>
          <w:bCs/>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 w:cs="Times New Roman"/>
          <w:b w:val="0"/>
          <w:bCs w:val="0"/>
          <w:color w:val="000000" w:themeColor="text1"/>
          <w:spacing w:val="0"/>
          <w:w w:val="100"/>
          <w:kern w:val="0"/>
          <w:position w:val="0"/>
          <w:sz w:val="32"/>
          <w:szCs w:val="32"/>
          <w:highlight w:val="none"/>
          <w:lang w:val="en-US" w:eastAsia="zh-CN" w:bidi="ar"/>
          <w14:textFill>
            <w14:solidFill>
              <w14:schemeClr w14:val="tx1"/>
            </w14:solidFill>
          </w14:textFill>
        </w:rPr>
        <w:t>2024年</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底前，在企业隐蔽致灾因素普查台账基础上，组织专业力量编制《区域性隐蔽致灾因素治理方案》，每年据实更新完善。</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7</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.强力推进重大事故隐患动态清零。</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强化“隐患即事故”理念，突出监管执法精准性、实效性，督促企业定期排查治理重大</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事故</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隐患，保持动态清零。重点抓好3项工作：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（1）隐患判定要准确</w:t>
      </w:r>
      <w:r>
        <w:rPr>
          <w:rFonts w:hint="default" w:ascii="Times New Roman" w:hAnsi="Times New Roman" w:eastAsia="仿宋_GB2312" w:cs="Times New Roman"/>
          <w:b/>
          <w:bCs/>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监管执法人员要学深吃透《金属非金属矿山重大事故隐患判定标准》，做到准确判别重大事故隐患，依规提出处置措施。</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（2）监管执法要严格</w:t>
      </w:r>
      <w:r>
        <w:rPr>
          <w:rFonts w:hint="default" w:ascii="Times New Roman" w:hAnsi="Times New Roman" w:eastAsia="仿宋_GB2312" w:cs="Times New Roman"/>
          <w:b/>
          <w:bCs/>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把企业每月1次的重大事故隐患排查治理情况作为重点检查内容，聚焦重点矿山和C、D级风险矿山，加强日常安全监管执法，对不放心的企业，组织开展“解剖式”会诊，确保查的出、查的实、查的准、治得住，坚决杜绝作风不实，执法不严格、不精准，放任“带病”生产等问题。</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（3）调查处理要从严</w:t>
      </w:r>
      <w:r>
        <w:rPr>
          <w:rFonts w:hint="default" w:ascii="Times New Roman" w:hAnsi="Times New Roman" w:eastAsia="仿宋" w:cs="Times New Roman"/>
          <w:b/>
          <w:bCs/>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检查发现重大事故隐患，要依规组织调查处理。未按要求完成重大事故隐患整改的矿山企业，依照有关规定进行约谈；发现重大事故隐患不及时整改、仍组织从业人员冒险作业的，依法实施联合惩戒；存在重大事故隐患仍然进行生产建设的，依法责令停产整顿，依法暂扣证照；对3个月内2次及以上发现有重大事故隐患仍然进行生产，依法依规提请地方政府关闭。</w:t>
      </w:r>
    </w:p>
    <w:p>
      <w:pPr>
        <w:keepNext w:val="0"/>
        <w:keepLines w:val="0"/>
        <w:pageBreakBefore w:val="0"/>
        <w:widowControl w:val="0"/>
        <w:kinsoku/>
        <w:wordWrap/>
        <w:overflowPunct/>
        <w:topLinePunct w:val="0"/>
        <w:autoSpaceDE w:val="0"/>
        <w:autoSpaceDN w:val="0"/>
        <w:bidi w:val="0"/>
        <w:adjustRightInd w:val="0"/>
        <w:snapToGrid w:val="0"/>
        <w:spacing w:line="560" w:lineRule="exact"/>
        <w:ind w:firstLine="643" w:firstLineChars="200"/>
        <w:jc w:val="both"/>
        <w:textAlignment w:val="baseline"/>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18</w:t>
      </w: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.持续深化分类分级监管。</w:t>
      </w:r>
    </w:p>
    <w:p>
      <w:pPr>
        <w:keepNext w:val="0"/>
        <w:keepLines w:val="0"/>
        <w:pageBreakBefore w:val="0"/>
        <w:widowControl w:val="0"/>
        <w:kinsoku/>
        <w:wordWrap/>
        <w:overflowPunct/>
        <w:topLinePunct w:val="0"/>
        <w:autoSpaceDE w:val="0"/>
        <w:autoSpaceDN w:val="0"/>
        <w:bidi w:val="0"/>
        <w:adjustRightInd w:val="0"/>
        <w:snapToGrid w:val="0"/>
        <w:spacing w:line="560" w:lineRule="exact"/>
        <w:ind w:firstLine="643" w:firstLineChars="200"/>
        <w:jc w:val="both"/>
        <w:textAlignment w:val="baseline"/>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（1）</w:t>
      </w:r>
      <w:r>
        <w:rPr>
          <w:rFonts w:hint="default" w:ascii="Times New Roman" w:hAnsi="Times New Roman" w:eastAsia="仿宋_GB2312" w:cs="Times New Roman"/>
          <w:b/>
          <w:bCs/>
          <w:color w:val="000000" w:themeColor="text1"/>
          <w:sz w:val="32"/>
          <w:szCs w:val="32"/>
          <w:highlight w:val="none"/>
          <w:lang w:eastAsia="zh-CN"/>
          <w14:textFill>
            <w14:solidFill>
              <w14:schemeClr w14:val="tx1"/>
            </w14:solidFill>
          </w14:textFill>
        </w:rPr>
        <w:t>常态化开展复评。</w:t>
      </w:r>
      <w:r>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督促企业对照非煤矿山安全生产诊断分级指导标准开展自查，每年结合复工复产验收工作，</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开展全面诊断并重新核定企业的评级情况。</w:t>
      </w:r>
    </w:p>
    <w:p>
      <w:pPr>
        <w:keepNext w:val="0"/>
        <w:keepLines w:val="0"/>
        <w:pageBreakBefore w:val="0"/>
        <w:widowControl w:val="0"/>
        <w:kinsoku/>
        <w:wordWrap/>
        <w:overflowPunct/>
        <w:topLinePunct w:val="0"/>
        <w:autoSpaceDE w:val="0"/>
        <w:autoSpaceDN w:val="0"/>
        <w:bidi w:val="0"/>
        <w:adjustRightInd w:val="0"/>
        <w:snapToGrid w:val="0"/>
        <w:spacing w:line="560" w:lineRule="exact"/>
        <w:ind w:firstLine="643" w:firstLineChars="200"/>
        <w:jc w:val="both"/>
        <w:textAlignment w:val="baseline"/>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sz w:val="32"/>
          <w:szCs w:val="32"/>
          <w:highlight w:val="none"/>
          <w:lang w:eastAsia="zh-CN"/>
          <w14:textFill>
            <w14:solidFill>
              <w14:schemeClr w14:val="tx1"/>
            </w14:solidFill>
          </w14:textFill>
        </w:rPr>
        <w:t>（</w:t>
      </w:r>
      <w:r>
        <w:rPr>
          <w:rFonts w:hint="eastAsia" w:ascii="Times New Roman" w:hAnsi="Times New Roman" w:eastAsia="仿宋_GB2312" w:cs="Times New Roman"/>
          <w:b/>
          <w:bCs/>
          <w:color w:val="000000" w:themeColor="text1"/>
          <w:sz w:val="32"/>
          <w:szCs w:val="32"/>
          <w:highlight w:val="none"/>
          <w:lang w:val="en-US" w:eastAsia="zh-CN"/>
          <w14:textFill>
            <w14:solidFill>
              <w14:schemeClr w14:val="tx1"/>
            </w14:solidFill>
          </w14:textFill>
        </w:rPr>
        <w:t>2</w:t>
      </w:r>
      <w:r>
        <w:rPr>
          <w:rFonts w:hint="default" w:ascii="Times New Roman" w:hAnsi="Times New Roman" w:eastAsia="仿宋_GB2312" w:cs="Times New Roman"/>
          <w:b/>
          <w:bCs/>
          <w:color w:val="000000" w:themeColor="text1"/>
          <w:sz w:val="32"/>
          <w:szCs w:val="32"/>
          <w:highlight w:val="none"/>
          <w:lang w:eastAsia="zh-CN"/>
          <w14:textFill>
            <w14:solidFill>
              <w14:schemeClr w14:val="tx1"/>
            </w14:solidFill>
          </w14:textFill>
        </w:rPr>
        <w:t>）强化差异化监管。</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对企业自我诊断存在弄虚作假、“走过场”情况的，一律推倒重来；对诊断得分或等级连续下降的企业，纳入重点监管计划，加强执法检查力度和帮扶指导</w:t>
      </w:r>
      <w:r>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p>
    <w:p>
      <w:pPr>
        <w:pStyle w:val="2"/>
        <w:keepNext w:val="0"/>
        <w:keepLines w:val="0"/>
        <w:pageBreakBefore w:val="0"/>
        <w:kinsoku/>
        <w:wordWrap/>
        <w:topLinePunct w:val="0"/>
        <w:bidi w:val="0"/>
        <w:spacing w:after="0" w:line="560" w:lineRule="exact"/>
        <w:ind w:left="0" w:leftChars="0" w:firstLine="643" w:firstLineChars="200"/>
        <w:rPr>
          <w:rFonts w:hint="default" w:ascii="Times New Roman" w:hAnsi="Times New Roman" w:eastAsia="仿宋_GB2312" w:cs="Times New Roman"/>
          <w:color w:val="000000" w:themeColor="text1"/>
          <w:kern w:val="0"/>
          <w:sz w:val="32"/>
          <w:szCs w:val="32"/>
          <w:highlight w:val="none"/>
          <w:lang w:val="en-US" w:eastAsia="zh-CN" w:bidi="ar-SA"/>
          <w14:textFill>
            <w14:solidFill>
              <w14:schemeClr w14:val="tx1"/>
            </w14:solidFill>
          </w14:textFill>
        </w:rPr>
      </w:pP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19.</w:t>
      </w: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切实做好停产关闭矿山监管。</w:t>
      </w:r>
      <w:r>
        <w:rPr>
          <w:rFonts w:hint="default" w:ascii="Times New Roman" w:hAnsi="Times New Roman" w:eastAsia="仿宋_GB2312" w:cs="Times New Roman"/>
          <w:color w:val="000000" w:themeColor="text1"/>
          <w:kern w:val="0"/>
          <w:sz w:val="32"/>
          <w:szCs w:val="32"/>
          <w:highlight w:val="none"/>
          <w:lang w:val="en-US" w:eastAsia="zh-CN" w:bidi="ar-SA"/>
          <w14:textFill>
            <w14:solidFill>
              <w14:schemeClr w14:val="tx1"/>
            </w14:solidFill>
          </w14:textFill>
        </w:rPr>
        <w:t>2024年5月底前，进一步摸清辖区内停产、关闭矿山，更新工作台账，强化动态巡查检查工作，严厉打击矿产资源盗采等违法违规行为。</w:t>
      </w:r>
    </w:p>
    <w:p>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0"/>
          <w:position w:val="0"/>
          <w:sz w:val="32"/>
          <w:szCs w:val="32"/>
          <w:highlight w:val="none"/>
          <w:lang w:bidi="ar"/>
          <w14:textFill>
            <w14:solidFill>
              <w14:schemeClr w14:val="tx1"/>
            </w14:solidFill>
          </w14:textFill>
        </w:rPr>
        <w:t>（三）开展非煤矿山监管保障能力建设行动</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pP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20</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.健全安全监管体系。</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（1）推进体系建设。</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完善“许可+监管+执法”一体推进机制，落实非煤矿山事前事中事后全链条监管责任，推动安全监管规范化、三级联动一体化。</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（2）加强执法保障。</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配齐必要的执法装备，改善监管检查、调查取证等执法装备，开展规范化、标准化监管执法。</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strike w:val="0"/>
          <w:dstrike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_GB2312" w:cs="Times New Roman"/>
          <w:b/>
          <w:bCs/>
          <w:strike w:val="0"/>
          <w:dstrike w:val="0"/>
          <w:color w:val="000000" w:themeColor="text1"/>
          <w:spacing w:val="0"/>
          <w:w w:val="100"/>
          <w:kern w:val="2"/>
          <w:position w:val="0"/>
          <w:sz w:val="32"/>
          <w:szCs w:val="32"/>
          <w:highlight w:val="none"/>
          <w:lang w:val="en-US" w:eastAsia="zh-CN" w:bidi="ar-SA"/>
          <w14:textFill>
            <w14:solidFill>
              <w14:schemeClr w14:val="tx1"/>
            </w14:solidFill>
          </w14:textFill>
        </w:rPr>
        <w:t>21</w:t>
      </w:r>
      <w:r>
        <w:rPr>
          <w:rFonts w:hint="default" w:ascii="Times New Roman" w:hAnsi="Times New Roman" w:eastAsia="仿宋_GB2312" w:cs="Times New Roman"/>
          <w:b/>
          <w:bCs/>
          <w:strike w:val="0"/>
          <w:dstrike w:val="0"/>
          <w:color w:val="000000" w:themeColor="text1"/>
          <w:spacing w:val="0"/>
          <w:w w:val="100"/>
          <w:kern w:val="2"/>
          <w:position w:val="0"/>
          <w:sz w:val="32"/>
          <w:szCs w:val="32"/>
          <w:highlight w:val="none"/>
          <w:lang w:val="en-US" w:eastAsia="zh-CN" w:bidi="ar-SA"/>
          <w14:textFill>
            <w14:solidFill>
              <w14:schemeClr w14:val="tx1"/>
            </w14:solidFill>
          </w14:textFill>
        </w:rPr>
        <w:t>.落实安全保障制度。</w:t>
      </w:r>
      <w:r>
        <w:rPr>
          <w:rFonts w:hint="default" w:ascii="Times New Roman" w:hAnsi="Times New Roman" w:eastAsia="仿宋_GB2312" w:cs="Times New Roman"/>
          <w:b w:val="0"/>
          <w:bCs w:val="0"/>
          <w:strike w:val="0"/>
          <w:dstrike w:val="0"/>
          <w:color w:val="000000" w:themeColor="text1"/>
          <w:spacing w:val="0"/>
          <w:w w:val="100"/>
          <w:kern w:val="2"/>
          <w:position w:val="0"/>
          <w:sz w:val="32"/>
          <w:szCs w:val="32"/>
          <w:highlight w:val="none"/>
          <w:lang w:val="en-US" w:eastAsia="zh-CN" w:bidi="ar-SA"/>
          <w14:textFill>
            <w14:solidFill>
              <w14:schemeClr w14:val="tx1"/>
            </w14:solidFill>
          </w14:textFill>
        </w:rPr>
        <w:t>围绕贯彻落实《关于进一步加强矿山安全生产工作的实施意见》，严格执行《非煤矿山企业安全生产标准化定级标准》《山东省非煤矿山安全风险监测预警综合管理系统运行管理办法》《非煤矿山企业安全风险分级管控和隐患排查治理体系细则》等标准。</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2</w:t>
      </w:r>
      <w:r>
        <w:rPr>
          <w:rFonts w:hint="eastAsia" w:ascii="Times New Roman" w:hAnsi="Times New Roman" w:eastAsia="仿宋_GB2312" w:cs="Times New Roman"/>
          <w:b/>
          <w:bCs/>
          <w:color w:val="000000" w:themeColor="text1"/>
          <w:spacing w:val="0"/>
          <w:w w:val="100"/>
          <w:kern w:val="0"/>
          <w:position w:val="0"/>
          <w:sz w:val="32"/>
          <w:szCs w:val="32"/>
          <w:highlight w:val="none"/>
          <w:lang w:val="en-US" w:eastAsia="zh-CN" w:bidi="ar"/>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.全面提升能力素质。</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坚持实战导向，强化一线调查研究和实战练兵，不断提高监管执法能力素质。</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（1）调查研究常态化。</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监管人员要把调查研究作为破解难题、治本攻坚的重要抓手，围绕安全生产涉及的“人、机、环、管”等各要素，用好“深、实、细、准、效”五字诀，不断提出从根本上解决问题的新思路新举措。</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（2）锻造过硬本领。</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2024</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2026年，参加省厅开展的实战大练兵，着力提高监管人员统筹发展和安全的能力、发现问题解决问题的能力、协调各方资源和力量的能力、处置突发事件能力、抓落实的能力。</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（3）提升</w:t>
      </w:r>
      <w:r>
        <w:rPr>
          <w:rFonts w:hint="default" w:ascii="Times New Roman" w:hAnsi="Times New Roman" w:eastAsia="仿宋_GB2312" w:cs="Times New Roman"/>
          <w:b/>
          <w:bCs/>
          <w:color w:val="000000" w:themeColor="text1"/>
          <w:spacing w:val="0"/>
          <w:w w:val="100"/>
          <w:kern w:val="0"/>
          <w:position w:val="0"/>
          <w:sz w:val="32"/>
          <w:szCs w:val="32"/>
          <w:highlight w:val="none"/>
          <w:lang w:val="zh-CN" w:bidi="ar"/>
          <w14:textFill>
            <w14:solidFill>
              <w14:schemeClr w14:val="tx1"/>
            </w14:solidFill>
          </w14:textFill>
        </w:rPr>
        <w:t>“关</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键人</w:t>
      </w:r>
      <w:r>
        <w:rPr>
          <w:rFonts w:hint="default" w:ascii="Times New Roman" w:hAnsi="Times New Roman" w:eastAsia="仿宋_GB2312" w:cs="Times New Roman"/>
          <w:b/>
          <w:bCs/>
          <w:color w:val="000000" w:themeColor="text1"/>
          <w:spacing w:val="0"/>
          <w:w w:val="100"/>
          <w:kern w:val="0"/>
          <w:position w:val="0"/>
          <w:sz w:val="32"/>
          <w:szCs w:val="32"/>
          <w:highlight w:val="none"/>
          <w:lang w:eastAsia="zh-CN" w:bidi="ar"/>
          <w14:textFill>
            <w14:solidFill>
              <w14:schemeClr w14:val="tx1"/>
            </w14:solidFill>
          </w14:textFill>
        </w:rPr>
        <w:t>”</w:t>
      </w:r>
      <w:r>
        <w:rPr>
          <w:rFonts w:hint="default" w:ascii="Times New Roman" w:hAnsi="Times New Roman" w:eastAsia="仿宋_GB2312" w:cs="Times New Roman"/>
          <w:b/>
          <w:bCs/>
          <w:color w:val="000000" w:themeColor="text1"/>
          <w:spacing w:val="0"/>
          <w:w w:val="100"/>
          <w:kern w:val="0"/>
          <w:position w:val="0"/>
          <w:sz w:val="32"/>
          <w:szCs w:val="32"/>
          <w:highlight w:val="none"/>
          <w:lang w:bidi="ar"/>
          <w14:textFill>
            <w14:solidFill>
              <w14:schemeClr w14:val="tx1"/>
            </w14:solidFill>
          </w14:textFill>
        </w:rPr>
        <w:t>素质。</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充分发挥安全生产双月教育警示活动的作用，</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2024年，督促</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非煤矿山企业主要负责人</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参加</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“中央党校主课堂+各地区分课堂”</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和枣庄市应急局组织的</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全覆盖专题安全教育培训，推动主要负责人不断提升安全意识和安全管理能力。</w:t>
      </w:r>
    </w:p>
    <w:p>
      <w:pPr>
        <w:pStyle w:val="2"/>
        <w:keepNext w:val="0"/>
        <w:keepLines w:val="0"/>
        <w:pageBreakBefore w:val="0"/>
        <w:kinsoku/>
        <w:wordWrap/>
        <w:topLinePunct w:val="0"/>
        <w:bidi w:val="0"/>
        <w:spacing w:after="0" w:line="560" w:lineRule="exact"/>
        <w:ind w:left="0" w:leftChars="0" w:firstLine="643" w:firstLineChars="200"/>
        <w:rPr>
          <w:rFonts w:hint="default" w:ascii="Times New Roman" w:hAnsi="Times New Roman" w:eastAsia="仿宋_GB2312" w:cs="Times New Roman"/>
          <w:b/>
          <w:bCs/>
          <w:strike/>
          <w:dstrike w:val="0"/>
          <w:color w:val="000000" w:themeColor="text1"/>
          <w:spacing w:val="0"/>
          <w:w w:val="100"/>
          <w:kern w:val="0"/>
          <w:position w:val="0"/>
          <w:sz w:val="32"/>
          <w:szCs w:val="32"/>
          <w:highlight w:val="none"/>
          <w:lang w:val="en-US" w:eastAsia="zh-CN" w:bidi="ar"/>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（4）强化从业人员培训。</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通过开展集中培训，观看安全生产典型案例和警示教育片，学习《金属非金属矿山重大事故隐患判定标准》等相关行业内容，提升从业人员重大事故隐患排查治理和应急救援处置能力。</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_GB2312" w:cs="Times New Roman"/>
          <w:b/>
          <w:bCs/>
          <w:strike w:val="0"/>
          <w:dstrike w:val="0"/>
          <w:color w:val="000000" w:themeColor="text1"/>
          <w:spacing w:val="0"/>
          <w:w w:val="100"/>
          <w:kern w:val="0"/>
          <w:position w:val="0"/>
          <w:sz w:val="32"/>
          <w:szCs w:val="32"/>
          <w:highlight w:val="none"/>
          <w:lang w:val="en-US" w:eastAsia="zh-CN" w:bidi="ar"/>
          <w14:textFill>
            <w14:solidFill>
              <w14:schemeClr w14:val="tx1"/>
            </w14:solidFill>
          </w14:textFill>
        </w:rPr>
        <w:t>23</w:t>
      </w: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bidi="ar"/>
          <w14:textFill>
            <w14:solidFill>
              <w14:schemeClr w14:val="tx1"/>
            </w14:solidFill>
          </w14:textFill>
        </w:rPr>
        <w:t>.加强重点</w:t>
      </w: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eastAsia="zh-CN" w:bidi="ar"/>
          <w14:textFill>
            <w14:solidFill>
              <w14:schemeClr w14:val="tx1"/>
            </w14:solidFill>
          </w14:textFill>
        </w:rPr>
        <w:t>矿山</w:t>
      </w:r>
      <w:r>
        <w:rPr>
          <w:rFonts w:hint="default" w:ascii="Times New Roman" w:hAnsi="Times New Roman" w:eastAsia="仿宋_GB2312" w:cs="Times New Roman"/>
          <w:b/>
          <w:bCs/>
          <w:strike w:val="0"/>
          <w:dstrike w:val="0"/>
          <w:color w:val="000000" w:themeColor="text1"/>
          <w:spacing w:val="0"/>
          <w:w w:val="100"/>
          <w:kern w:val="0"/>
          <w:position w:val="0"/>
          <w:sz w:val="32"/>
          <w:szCs w:val="32"/>
          <w:highlight w:val="none"/>
          <w:lang w:bidi="ar"/>
          <w14:textFill>
            <w14:solidFill>
              <w14:schemeClr w14:val="tx1"/>
            </w14:solidFill>
          </w14:textFill>
        </w:rPr>
        <w:t>帮扶</w:t>
      </w:r>
      <w:r>
        <w:rPr>
          <w:rFonts w:hint="default" w:ascii="Times New Roman" w:hAnsi="Times New Roman" w:eastAsia="仿宋" w:cs="Times New Roman"/>
          <w:b/>
          <w:bCs/>
          <w:strike w:val="0"/>
          <w:dstrike w:val="0"/>
          <w:color w:val="000000" w:themeColor="text1"/>
          <w:spacing w:val="0"/>
          <w:w w:val="100"/>
          <w:kern w:val="0"/>
          <w:position w:val="0"/>
          <w:sz w:val="32"/>
          <w:szCs w:val="32"/>
          <w:highlight w:val="none"/>
          <w:lang w:bidi="ar"/>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组织力量对重点矿山开展帮扶指导，监督企业落实</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露天矿山边坡坍塌事故</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十条防范措施。</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楷体_GB2312" w:cs="Times New Roman"/>
          <w:b w:val="0"/>
          <w:bCs w:val="0"/>
          <w:snapToGrid w:val="0"/>
          <w:color w:val="000000" w:themeColor="text1"/>
          <w:spacing w:val="0"/>
          <w:w w:val="100"/>
          <w:kern w:val="0"/>
          <w:position w:val="0"/>
          <w:sz w:val="32"/>
          <w:szCs w:val="32"/>
          <w:highlight w:val="none"/>
          <w14:textFill>
            <w14:solidFill>
              <w14:schemeClr w14:val="tx1"/>
            </w14:solidFill>
          </w14:textFill>
        </w:rPr>
        <w:t>（四）</w:t>
      </w: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开展非煤矿山安全监管提质增效行动</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2</w:t>
      </w:r>
      <w:r>
        <w:rPr>
          <w:rFonts w:hint="eastAsia" w:ascii="Times New Roman" w:hAnsi="Times New Roman" w:eastAsia="仿宋_GB2312" w:cs="Times New Roman"/>
          <w:b/>
          <w:bCs/>
          <w:color w:val="000000" w:themeColor="text1"/>
          <w:spacing w:val="0"/>
          <w:w w:val="100"/>
          <w:position w:val="0"/>
          <w:sz w:val="32"/>
          <w:szCs w:val="32"/>
          <w:highlight w:val="none"/>
          <w:lang w:val="en-US" w:eastAsia="zh-CN"/>
          <w14:textFill>
            <w14:solidFill>
              <w14:schemeClr w14:val="tx1"/>
            </w14:solidFill>
          </w14:textFill>
        </w:rPr>
        <w:t>4</w:t>
      </w: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.监管执法规范化精准化。</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聚焦企业主体责任落实行动的14项重点任务，周密制定监管执法计划，综合采取“线上智能巡检+线下精准核查”、突击检查、“杀回马枪”、靶向督导等方式，对频繁处于C、D级的矿山，科学调配监管力量，规范应用“山东省安全生产移动执法系统”“山东省非煤矿山监测预警综合管理系统”，全链条落实安全标准化检查，加大执法力度，运用法治、市场、行政多种手段，全力推动各项工作落地见效。对未按照规定时间节点和要求落实</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12</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项任务的企业，一律公开曝光。</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2</w:t>
      </w:r>
      <w:r>
        <w:rPr>
          <w:rFonts w:hint="eastAsia" w:ascii="Times New Roman" w:hAnsi="Times New Roman" w:eastAsia="仿宋_GB2312" w:cs="Times New Roman"/>
          <w:b/>
          <w:bCs/>
          <w:color w:val="000000" w:themeColor="text1"/>
          <w:spacing w:val="0"/>
          <w:w w:val="100"/>
          <w:position w:val="0"/>
          <w:sz w:val="32"/>
          <w:szCs w:val="32"/>
          <w:highlight w:val="none"/>
          <w:lang w:val="en-US" w:eastAsia="zh-CN"/>
          <w14:textFill>
            <w14:solidFill>
              <w14:schemeClr w14:val="tx1"/>
            </w14:solidFill>
          </w14:textFill>
        </w:rPr>
        <w:t>5</w:t>
      </w: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.坚持严管重处。</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市应急局</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对照《山东省非煤矿山企业主体责任落实情况量化清单》《山东省非煤矿山“五职”矿长</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记分</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清单》《山东省非煤矿山双重预防机制建设运行质量量化清单》每季度对露天矿山考核</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1</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次</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；同步</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开展规范监管执法，建立问题台账、精准跟踪落实，该处罚的处罚，该停产的责令停产整顿，该关闭的提请政府依法予以关闭。</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2</w:t>
      </w:r>
      <w:r>
        <w:rPr>
          <w:rFonts w:hint="eastAsia" w:ascii="Times New Roman" w:hAnsi="Times New Roman" w:eastAsia="仿宋_GB2312" w:cs="Times New Roman"/>
          <w:b/>
          <w:bCs/>
          <w:color w:val="000000" w:themeColor="text1"/>
          <w:spacing w:val="0"/>
          <w:w w:val="100"/>
          <w:position w:val="0"/>
          <w:sz w:val="32"/>
          <w:szCs w:val="32"/>
          <w:highlight w:val="none"/>
          <w:lang w:val="en-US" w:eastAsia="zh-CN"/>
          <w14:textFill>
            <w14:solidFill>
              <w14:schemeClr w14:val="tx1"/>
            </w14:solidFill>
          </w14:textFill>
        </w:rPr>
        <w:t>6</w:t>
      </w: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.严格责任追究。</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各级监管部门要聚焦重大事故隐患排查整治、隐蔽致灾因素普查治理等重点，对发现的重大事故隐患一律倒查企业主要负责人到具体责任人的责任，依法严肃追责问责，监督企业全链条整改落实不到位的问题，问题原因未查清、整改不彻底、责任人未处理、全体人员未受到教育的，一律责令停产整顿。发生亡人事故的，一律停产整顿，经停产整顿仍不具备安全生产条件的，依法按程序予以关闭。</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2</w:t>
      </w:r>
      <w:r>
        <w:rPr>
          <w:rFonts w:hint="eastAsia" w:ascii="Times New Roman" w:hAnsi="Times New Roman" w:eastAsia="仿宋_GB2312" w:cs="Times New Roman"/>
          <w:b/>
          <w:bCs/>
          <w:color w:val="000000" w:themeColor="text1"/>
          <w:spacing w:val="0"/>
          <w:w w:val="100"/>
          <w:position w:val="0"/>
          <w:sz w:val="32"/>
          <w:szCs w:val="32"/>
          <w:highlight w:val="none"/>
          <w:lang w:val="en-US" w:eastAsia="zh-CN"/>
          <w14:textFill>
            <w14:solidFill>
              <w14:schemeClr w14:val="tx1"/>
            </w14:solidFill>
          </w14:textFill>
        </w:rPr>
        <w:t>7</w:t>
      </w:r>
      <w:r>
        <w:rPr>
          <w:rFonts w:hint="default" w:ascii="Times New Roman" w:hAnsi="Times New Roman" w:eastAsia="仿宋_GB2312" w:cs="Times New Roman"/>
          <w:b/>
          <w:bCs/>
          <w:color w:val="000000" w:themeColor="text1"/>
          <w:spacing w:val="0"/>
          <w:w w:val="100"/>
          <w:position w:val="0"/>
          <w:sz w:val="32"/>
          <w:szCs w:val="32"/>
          <w:highlight w:val="none"/>
          <w14:textFill>
            <w14:solidFill>
              <w14:schemeClr w14:val="tx1"/>
            </w14:solidFill>
          </w14:textFill>
        </w:rPr>
        <w:t>.严格停产停建管理。</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要将长期停产停建的非煤矿山纳入日常监管范围，建立停产停建矿山台账。</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（1）</w:t>
      </w: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加强巡查检查。</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计划停产停建超过3个月的矿山，应按规定向</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市应急局</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报送停产停建方案，</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严防明停暗开，</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做好停产停建期间巡查检查工作。</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2</w:t>
      </w: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加强隐患整改。</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被责令停产停建整顿和自行停产停建整改的矿山开展隐患整改，应制定整改方案和安全措施，向相应安全监管监察部门报告后方可进行整改作业。</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3</w:t>
      </w:r>
      <w:r>
        <w:rPr>
          <w:rFonts w:hint="default"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w:t>
      </w:r>
      <w:r>
        <w:rPr>
          <w:rFonts w:hint="eastAsia" w:ascii="Times New Roman" w:hAnsi="Times New Roman" w:eastAsia="仿宋_GB2312"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加强复工复产验收。</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停产停建超过3个月需要复工复产的矿山，应制定复工复产方案和安全技术措施，主要负责人、安全管理人员、专业技术人员、特种作业人员等关键岗位人员必须到岗履职。未按照有关标准、程序组织验收或者经核查不符合安全生产条件的，一律不得复工复产。</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（五）</w:t>
      </w:r>
      <w:r>
        <w:rPr>
          <w:rFonts w:hint="eastAsia" w:ascii="Times New Roman" w:hAnsi="Times New Roman" w:eastAsia="楷体_GB2312" w:cs="Times New Roman"/>
          <w:b w:val="0"/>
          <w:bCs w:val="0"/>
          <w:color w:val="000000" w:themeColor="text1"/>
          <w:spacing w:val="0"/>
          <w:w w:val="100"/>
          <w:position w:val="0"/>
          <w:sz w:val="32"/>
          <w:szCs w:val="32"/>
          <w:highlight w:val="none"/>
          <w:lang w:eastAsia="zh-CN"/>
          <w14:textFill>
            <w14:solidFill>
              <w14:schemeClr w14:val="tx1"/>
            </w14:solidFill>
          </w14:textFill>
        </w:rPr>
        <w:t>加强</w:t>
      </w: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非煤矿山安全</w:t>
      </w:r>
      <w:r>
        <w:rPr>
          <w:rFonts w:hint="default" w:ascii="Times New Roman" w:hAnsi="Times New Roman" w:eastAsia="楷体_GB2312" w:cs="Times New Roman"/>
          <w:b w:val="0"/>
          <w:bCs w:val="0"/>
          <w:color w:val="000000" w:themeColor="text1"/>
          <w:spacing w:val="0"/>
          <w:w w:val="100"/>
          <w:position w:val="0"/>
          <w:sz w:val="32"/>
          <w:szCs w:val="32"/>
          <w:highlight w:val="none"/>
          <w:lang w:eastAsia="zh-CN"/>
          <w14:textFill>
            <w14:solidFill>
              <w14:schemeClr w14:val="tx1"/>
            </w14:solidFill>
          </w14:textFill>
        </w:rPr>
        <w:t>监管</w:t>
      </w:r>
      <w:r>
        <w:rPr>
          <w:rFonts w:hint="eastAsia" w:ascii="Times New Roman" w:hAnsi="Times New Roman" w:eastAsia="楷体_GB2312" w:cs="Times New Roman"/>
          <w:b w:val="0"/>
          <w:bCs w:val="0"/>
          <w:color w:val="000000" w:themeColor="text1"/>
          <w:spacing w:val="0"/>
          <w:w w:val="100"/>
          <w:position w:val="0"/>
          <w:sz w:val="32"/>
          <w:szCs w:val="32"/>
          <w:highlight w:val="none"/>
          <w:lang w:eastAsia="zh-CN"/>
          <w14:textFill>
            <w14:solidFill>
              <w14:schemeClr w14:val="tx1"/>
            </w14:solidFill>
          </w14:textFill>
        </w:rPr>
        <w:t>体制机制建设</w:t>
      </w: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行动</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28</w:t>
      </w:r>
      <w:r>
        <w:rPr>
          <w:rFonts w:hint="default" w:ascii="Times New Roman" w:hAnsi="Times New Roman" w:eastAsia="仿宋" w:cs="Times New Roman"/>
          <w:b/>
          <w:bCs/>
          <w:color w:val="000000" w:themeColor="text1"/>
          <w:spacing w:val="0"/>
          <w:w w:val="100"/>
          <w:kern w:val="2"/>
          <w:position w:val="0"/>
          <w:sz w:val="32"/>
          <w:szCs w:val="32"/>
          <w:highlight w:val="none"/>
          <w:lang w:val="en-US" w:eastAsia="zh-CN" w:bidi="ar-SA"/>
          <w14:textFill>
            <w14:solidFill>
              <w14:schemeClr w14:val="tx1"/>
            </w14:solidFill>
          </w14:textFill>
        </w:rPr>
        <w:t>.落实领导干部包保责任。</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包保</w:t>
      </w:r>
      <w:r>
        <w:rPr>
          <w:rFonts w:hint="default" w:ascii="Times New Roman" w:hAnsi="Times New Roman" w:eastAsia="仿宋_GB2312" w:cs="Times New Roman"/>
          <w:b w:val="0"/>
          <w:bCs w:val="0"/>
          <w:color w:val="auto"/>
          <w:spacing w:val="0"/>
          <w:w w:val="100"/>
          <w:kern w:val="2"/>
          <w:position w:val="0"/>
          <w:sz w:val="32"/>
          <w:szCs w:val="32"/>
          <w:highlight w:val="none"/>
          <w:lang w:val="en-US" w:eastAsia="zh-CN" w:bidi="ar-SA"/>
        </w:rPr>
        <w:t>领导工作有变动的，要及时进行调整，确保包</w:t>
      </w:r>
      <w:r>
        <w:rPr>
          <w:rFonts w:hint="default" w:ascii="Times New Roman" w:hAnsi="Times New Roman" w:eastAsia="仿宋_GB2312" w:cs="Times New Roman"/>
          <w:b w:val="0"/>
          <w:bCs w:val="0"/>
          <w:color w:val="auto"/>
          <w:spacing w:val="0"/>
          <w:w w:val="100"/>
          <w:kern w:val="2"/>
          <w:position w:val="0"/>
          <w:sz w:val="32"/>
          <w:szCs w:val="32"/>
          <w:highlight w:val="none"/>
          <w:u w:val="none"/>
          <w:lang w:val="en-US" w:eastAsia="zh-CN" w:bidi="ar-SA"/>
        </w:rPr>
        <w:t>保责任落到实处。由</w:t>
      </w:r>
      <w:r>
        <w:rPr>
          <w:rFonts w:hint="eastAsia" w:ascii="Times New Roman" w:hAnsi="Times New Roman" w:eastAsia="仿宋_GB2312" w:cs="Times New Roman"/>
          <w:b w:val="0"/>
          <w:bCs w:val="0"/>
          <w:color w:val="auto"/>
          <w:spacing w:val="0"/>
          <w:w w:val="100"/>
          <w:kern w:val="2"/>
          <w:position w:val="0"/>
          <w:sz w:val="32"/>
          <w:szCs w:val="32"/>
          <w:highlight w:val="none"/>
          <w:u w:val="none"/>
          <w:lang w:val="en-US" w:eastAsia="zh-CN" w:bidi="ar-SA"/>
        </w:rPr>
        <w:t>政府</w:t>
      </w:r>
      <w:r>
        <w:rPr>
          <w:rFonts w:hint="default" w:ascii="Times New Roman" w:hAnsi="Times New Roman" w:eastAsia="仿宋_GB2312" w:cs="Times New Roman"/>
          <w:b w:val="0"/>
          <w:bCs w:val="0"/>
          <w:color w:val="auto"/>
          <w:spacing w:val="0"/>
          <w:w w:val="100"/>
          <w:kern w:val="2"/>
          <w:position w:val="0"/>
          <w:sz w:val="32"/>
          <w:szCs w:val="32"/>
          <w:highlight w:val="none"/>
          <w:u w:val="none"/>
          <w:lang w:val="en-US" w:eastAsia="zh-CN" w:bidi="ar-SA"/>
        </w:rPr>
        <w:t>党委、政府</w:t>
      </w:r>
      <w:r>
        <w:rPr>
          <w:rFonts w:hint="eastAsia" w:ascii="Times New Roman" w:hAnsi="Times New Roman" w:eastAsia="仿宋_GB2312" w:cs="Times New Roman"/>
          <w:b w:val="0"/>
          <w:bCs w:val="0"/>
          <w:color w:val="auto"/>
          <w:spacing w:val="0"/>
          <w:w w:val="100"/>
          <w:kern w:val="2"/>
          <w:position w:val="0"/>
          <w:sz w:val="32"/>
          <w:szCs w:val="32"/>
          <w:highlight w:val="none"/>
          <w:u w:val="none"/>
          <w:lang w:val="en-US" w:eastAsia="zh-CN" w:bidi="ar-SA"/>
        </w:rPr>
        <w:t>或</w:t>
      </w:r>
      <w:r>
        <w:rPr>
          <w:rFonts w:hint="default" w:ascii="Times New Roman" w:hAnsi="Times New Roman" w:eastAsia="仿宋_GB2312" w:cs="Times New Roman"/>
          <w:b w:val="0"/>
          <w:bCs w:val="0"/>
          <w:color w:val="auto"/>
          <w:spacing w:val="0"/>
          <w:w w:val="100"/>
          <w:kern w:val="2"/>
          <w:position w:val="0"/>
          <w:sz w:val="32"/>
          <w:szCs w:val="32"/>
          <w:highlight w:val="none"/>
          <w:u w:val="none"/>
          <w:lang w:val="en-US" w:eastAsia="zh-CN" w:bidi="ar-SA"/>
        </w:rPr>
        <w:t>其相关部门科级以上领导干部包保。每年</w:t>
      </w:r>
      <w:r>
        <w:rPr>
          <w:rFonts w:hint="default" w:ascii="Times New Roman" w:hAnsi="Times New Roman" w:eastAsia="仿宋_GB2312" w:cs="Times New Roman"/>
          <w:b w:val="0"/>
          <w:bCs w:val="0"/>
          <w:color w:val="auto"/>
          <w:spacing w:val="0"/>
          <w:w w:val="100"/>
          <w:kern w:val="2"/>
          <w:position w:val="0"/>
          <w:sz w:val="32"/>
          <w:szCs w:val="32"/>
          <w:highlight w:val="none"/>
          <w:lang w:val="en-US" w:eastAsia="zh-CN" w:bidi="ar-SA"/>
        </w:rPr>
        <w:t>4月底前，将本地区非煤矿山包保责任人等信息在所在地人民政府和有关部门</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门户网站及主流媒体上公告并报</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枣庄市应急局</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 w:cs="Times New Roman"/>
          <w:b/>
          <w:bCs/>
          <w:color w:val="000000" w:themeColor="text1"/>
          <w:spacing w:val="0"/>
          <w:w w:val="100"/>
          <w:position w:val="0"/>
          <w:sz w:val="32"/>
          <w:szCs w:val="32"/>
          <w:highlight w:val="none"/>
          <w:lang w:val="en-US" w:eastAsia="zh-CN"/>
          <w14:textFill>
            <w14:solidFill>
              <w14:schemeClr w14:val="tx1"/>
            </w14:solidFill>
          </w14:textFill>
        </w:rPr>
        <w:t>29</w:t>
      </w:r>
      <w:r>
        <w:rPr>
          <w:rFonts w:hint="default" w:ascii="Times New Roman" w:hAnsi="Times New Roman" w:eastAsia="仿宋" w:cs="Times New Roman"/>
          <w:b/>
          <w:bCs/>
          <w:color w:val="000000" w:themeColor="text1"/>
          <w:spacing w:val="0"/>
          <w:w w:val="100"/>
          <w:position w:val="0"/>
          <w:sz w:val="32"/>
          <w:szCs w:val="32"/>
          <w:highlight w:val="none"/>
          <w14:textFill>
            <w14:solidFill>
              <w14:schemeClr w14:val="tx1"/>
            </w14:solidFill>
          </w14:textFill>
        </w:rPr>
        <w:t>.健全机构配齐配强人员。</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加强矿山安全监管机构和队伍建设，专业监管人员配备比例不低于在职人员的75%。</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（六）常态化严厉打击违法违规行为</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 w:cs="Times New Roman"/>
          <w:b/>
          <w:bCs/>
          <w:color w:val="000000" w:themeColor="text1"/>
          <w:spacing w:val="0"/>
          <w:w w:val="100"/>
          <w:position w:val="0"/>
          <w:sz w:val="32"/>
          <w:szCs w:val="32"/>
          <w:highlight w:val="none"/>
          <w:lang w:val="en-US" w:eastAsia="zh-CN"/>
          <w14:textFill>
            <w14:solidFill>
              <w14:schemeClr w14:val="tx1"/>
            </w14:solidFill>
          </w14:textFill>
        </w:rPr>
        <w:t>30</w:t>
      </w:r>
      <w:r>
        <w:rPr>
          <w:rFonts w:hint="default" w:ascii="Times New Roman" w:hAnsi="Times New Roman" w:eastAsia="仿宋" w:cs="Times New Roman"/>
          <w:b/>
          <w:bCs/>
          <w:color w:val="000000" w:themeColor="text1"/>
          <w:spacing w:val="0"/>
          <w:w w:val="100"/>
          <w:position w:val="0"/>
          <w:sz w:val="32"/>
          <w:szCs w:val="32"/>
          <w:highlight w:val="none"/>
          <w14:textFill>
            <w14:solidFill>
              <w14:schemeClr w14:val="tx1"/>
            </w14:solidFill>
          </w14:textFill>
        </w:rPr>
        <w:t>.加大举报奖励力度。</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强化举报渠道和奖励政策宣传，鼓励新闻媒体和群众曝光违法违规行为和重大事故隐患，全方位保障“吹哨人”权益。对举报线索快速核实、重奖快奖，提高社会各界参与安全生产监督的积极性。</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仿宋" w:cs="Times New Roman"/>
          <w:b/>
          <w:bCs/>
          <w:color w:val="000000" w:themeColor="text1"/>
          <w:spacing w:val="0"/>
          <w:w w:val="100"/>
          <w:position w:val="0"/>
          <w:sz w:val="32"/>
          <w:szCs w:val="32"/>
          <w:highlight w:val="none"/>
          <w14:textFill>
            <w14:solidFill>
              <w14:schemeClr w14:val="tx1"/>
            </w14:solidFill>
          </w14:textFill>
        </w:rPr>
        <w:t>3</w:t>
      </w:r>
      <w:r>
        <w:rPr>
          <w:rFonts w:hint="eastAsia" w:ascii="Times New Roman" w:hAnsi="Times New Roman" w:eastAsia="仿宋" w:cs="Times New Roman"/>
          <w:b/>
          <w:bCs/>
          <w:color w:val="000000" w:themeColor="text1"/>
          <w:spacing w:val="0"/>
          <w:w w:val="100"/>
          <w:position w:val="0"/>
          <w:sz w:val="32"/>
          <w:szCs w:val="32"/>
          <w:highlight w:val="none"/>
          <w:lang w:val="en-US" w:eastAsia="zh-CN"/>
          <w14:textFill>
            <w14:solidFill>
              <w14:schemeClr w14:val="tx1"/>
            </w14:solidFill>
          </w14:textFill>
        </w:rPr>
        <w:t>1</w:t>
      </w:r>
      <w:r>
        <w:rPr>
          <w:rFonts w:hint="default" w:ascii="Times New Roman" w:hAnsi="Times New Roman" w:eastAsia="仿宋" w:cs="Times New Roman"/>
          <w:b/>
          <w:bCs/>
          <w:color w:val="000000" w:themeColor="text1"/>
          <w:spacing w:val="0"/>
          <w:w w:val="100"/>
          <w:position w:val="0"/>
          <w:sz w:val="32"/>
          <w:szCs w:val="32"/>
          <w:highlight w:val="none"/>
          <w14:textFill>
            <w14:solidFill>
              <w14:schemeClr w14:val="tx1"/>
            </w14:solidFill>
          </w14:textFill>
        </w:rPr>
        <w:t>.严打矿山违法违规行为。</w:t>
      </w:r>
      <w:r>
        <w:rPr>
          <w:rFonts w:hint="default" w:ascii="Times New Roman" w:hAnsi="Times New Roman" w:eastAsia="仿宋" w:cs="Times New Roman"/>
          <w:b w:val="0"/>
          <w:bCs w:val="0"/>
          <w:color w:val="000000" w:themeColor="text1"/>
          <w:spacing w:val="0"/>
          <w:w w:val="100"/>
          <w:position w:val="0"/>
          <w:sz w:val="32"/>
          <w:szCs w:val="32"/>
          <w:highlight w:val="none"/>
          <w:lang w:val="en-US" w:eastAsia="zh-CN"/>
          <w14:textFill>
            <w14:solidFill>
              <w14:schemeClr w14:val="tx1"/>
            </w14:solidFill>
          </w14:textFill>
        </w:rPr>
        <w:t>2024年</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6月底前，组织精干力量开展一次“七假五超四不三瞒三违两包”专项整治，依法采取停产整顿、关闭取缔、上限处罚、行业禁入、联合惩戒、行刑衔接等手段，追究相关责任人责任。（七假：假履责、假整改、假封闭、假图纸、假数据、假报告、假整合；五超：超范围、超能力、超强度、超定员、证照超期；四不：不具备法定办矿条件、不按设计生产建设、不经批准擅自复工复产、拒不执行监管指令；三瞒：隐瞒作业地点、隐瞒作业人数、瞒报事故；三违：违章指挥、违章作业、违反劳动纪律；两包：违法转包、分包）</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3"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eastAsia" w:ascii="Times New Roman" w:hAnsi="Times New Roman" w:eastAsia="仿宋" w:cs="Times New Roman"/>
          <w:b/>
          <w:bCs/>
          <w:color w:val="000000" w:themeColor="text1"/>
          <w:spacing w:val="0"/>
          <w:w w:val="100"/>
          <w:position w:val="0"/>
          <w:sz w:val="32"/>
          <w:szCs w:val="32"/>
          <w:highlight w:val="none"/>
          <w:lang w:val="en-US" w:eastAsia="zh-CN"/>
          <w14:textFill>
            <w14:solidFill>
              <w14:schemeClr w14:val="tx1"/>
            </w14:solidFill>
          </w14:textFill>
        </w:rPr>
        <w:t>32</w:t>
      </w:r>
      <w:r>
        <w:rPr>
          <w:rFonts w:hint="default" w:ascii="Times New Roman" w:hAnsi="Times New Roman" w:eastAsia="仿宋" w:cs="Times New Roman"/>
          <w:b/>
          <w:bCs/>
          <w:color w:val="000000" w:themeColor="text1"/>
          <w:spacing w:val="0"/>
          <w:w w:val="100"/>
          <w:position w:val="0"/>
          <w:sz w:val="32"/>
          <w:szCs w:val="32"/>
          <w:highlight w:val="none"/>
          <w14:textFill>
            <w14:solidFill>
              <w14:schemeClr w14:val="tx1"/>
            </w14:solidFill>
          </w14:textFill>
        </w:rPr>
        <w:t>.严打违法违规服务机构。</w:t>
      </w:r>
      <w:r>
        <w:rPr>
          <w:rFonts w:hint="default" w:ascii="Times New Roman" w:hAnsi="Times New Roman" w:eastAsia="仿宋_GB2312" w:cs="Times New Roman"/>
          <w:b w:val="0"/>
          <w:bCs w:val="0"/>
          <w:color w:val="000000" w:themeColor="text1"/>
          <w:spacing w:val="0"/>
          <w:w w:val="100"/>
          <w:kern w:val="2"/>
          <w:position w:val="0"/>
          <w:sz w:val="32"/>
          <w:szCs w:val="32"/>
          <w:highlight w:val="none"/>
          <w:u w:val="none"/>
          <w:lang w:val="en-US" w:eastAsia="zh-CN" w:bidi="ar-SA"/>
          <w14:textFill>
            <w14:solidFill>
              <w14:schemeClr w14:val="tx1"/>
            </w14:solidFill>
          </w14:textFill>
        </w:rPr>
        <w:t>将</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非煤矿山安全评价、检测检验等服务机构纳入“打非治违”范围，重点打击不具备资质、超资质范围服务，转让租借资质及资格证书，从业人员挂靠两个及以上机构，不派或少派工作人员现场勘察核验、抄袭报告，出具严重失实报告等违法违规行为，情形严重的，纳入“黑名单”管理。</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黑体" w:cs="Times New Roman"/>
          <w:b w:val="0"/>
          <w:bCs w:val="0"/>
          <w:color w:val="000000" w:themeColor="text1"/>
          <w:spacing w:val="0"/>
          <w:w w:val="100"/>
          <w:position w:val="0"/>
          <w:sz w:val="32"/>
          <w:szCs w:val="32"/>
          <w:highlight w:val="none"/>
          <w14:textFill>
            <w14:solidFill>
              <w14:schemeClr w14:val="tx1"/>
            </w14:solidFill>
          </w14:textFill>
        </w:rPr>
        <w:t>四、工作要求</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（一）加强组织领导。</w:t>
      </w:r>
      <w:r>
        <w:rPr>
          <w:rFonts w:hint="default" w:ascii="Times New Roman" w:hAnsi="Times New Roman" w:eastAsia="仿宋_GB2312" w:cs="Times New Roman"/>
          <w:b w:val="0"/>
          <w:bCs w:val="0"/>
          <w:color w:val="000000" w:themeColor="text1"/>
          <w:sz w:val="32"/>
          <w:szCs w:val="32"/>
          <w:highlight w:val="none"/>
          <w:u w:val="none"/>
          <w14:textFill>
            <w14:solidFill>
              <w14:schemeClr w14:val="tx1"/>
            </w14:solidFill>
          </w14:textFill>
        </w:rPr>
        <w:t>召开专题会议进行动员部署</w:t>
      </w:r>
      <w:r>
        <w:rPr>
          <w:rFonts w:hint="default" w:ascii="Times New Roman" w:hAnsi="Times New Roman" w:eastAsia="仿宋_GB2312" w:cs="Times New Roman"/>
          <w:b w:val="0"/>
          <w:bCs w:val="0"/>
          <w:color w:val="000000" w:themeColor="text1"/>
          <w:sz w:val="32"/>
          <w:szCs w:val="32"/>
          <w:highlight w:val="none"/>
          <w:u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明确责任分工，细化工作措施，清单化推进。</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（二）强化调度督导。</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建立“月调度、月通报”机制，每月对三年行动进展情况进行调度统计分析。对工作推进不力、责任不落实、成效不明显的，要落实约谈警示、通报曝光、考核问责等措施。</w:t>
      </w:r>
    </w:p>
    <w:p>
      <w:pPr>
        <w:pStyle w:val="4"/>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jc w:val="both"/>
        <w:textAlignment w:val="auto"/>
        <w:outlineLvl w:val="9"/>
        <w:rPr>
          <w:rFonts w:hint="default" w:ascii="Times New Roman" w:hAnsi="Times New Roman" w:eastAsia="仿宋" w:cs="Times New Roman"/>
          <w:b w:val="0"/>
          <w:bCs w:val="0"/>
          <w:color w:val="000000" w:themeColor="text1"/>
          <w:spacing w:val="0"/>
          <w:w w:val="100"/>
          <w:position w:val="0"/>
          <w:sz w:val="32"/>
          <w:szCs w:val="32"/>
          <w:highlight w:val="none"/>
          <w14:textFill>
            <w14:solidFill>
              <w14:schemeClr w14:val="tx1"/>
            </w14:solidFill>
          </w14:textFill>
        </w:rPr>
      </w:pPr>
      <w:r>
        <w:rPr>
          <w:rFonts w:hint="default" w:ascii="Times New Roman" w:hAnsi="Times New Roman" w:eastAsia="楷体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（三）狠抓工作落实。</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6个整治提升行动3</w:t>
      </w:r>
      <w:r>
        <w:rPr>
          <w:rFonts w:hint="eastAsia"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2</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项重点任务贯穿三年行动始终，要切实转变作风，发扬抓铁有痕、踏石留印的精神，保障每项任务措施有部署、落实、检查、反馈、复盘、整改、总结、提升，形成完整闭合畅通的回路，坚决防止和克服部署轰轰烈烈，中间平平淡淡，最后杳无音讯的现象。</w:t>
      </w:r>
    </w:p>
    <w:p>
      <w:pPr>
        <w:keepNext w:val="0"/>
        <w:keepLines w:val="0"/>
        <w:pageBreakBefore w:val="0"/>
        <w:kinsoku/>
        <w:wordWrap/>
        <w:overflowPunct w:val="0"/>
        <w:topLinePunct w:val="0"/>
        <w:bidi w:val="0"/>
        <w:adjustRightInd w:val="0"/>
        <w:snapToGrid w:val="0"/>
        <w:spacing w:line="560" w:lineRule="exact"/>
        <w:ind w:firstLine="640" w:firstLineChars="200"/>
        <w:jc w:val="both"/>
        <w:rPr>
          <w:rFonts w:hint="default"/>
          <w:lang w:val="en-US" w:eastAsia="zh-CN"/>
        </w:rPr>
      </w:pPr>
      <w:r>
        <w:rPr>
          <w:rFonts w:hint="default" w:ascii="Times New Roman" w:hAnsi="Times New Roman" w:eastAsia="楷体_GB2312" w:cs="Times New Roman"/>
          <w:b w:val="0"/>
          <w:bCs w:val="0"/>
          <w:color w:val="000000" w:themeColor="text1"/>
          <w:spacing w:val="0"/>
          <w:w w:val="100"/>
          <w:position w:val="0"/>
          <w:sz w:val="32"/>
          <w:szCs w:val="32"/>
          <w:highlight w:val="none"/>
          <w14:textFill>
            <w14:solidFill>
              <w14:schemeClr w14:val="tx1"/>
            </w14:solidFill>
          </w14:textFill>
        </w:rPr>
        <w:t>（四）广泛宣传教育。</w:t>
      </w:r>
      <w:r>
        <w:rPr>
          <w:rFonts w:hint="default" w:ascii="Times New Roman" w:hAnsi="Times New Roman" w:eastAsia="仿宋_GB2312" w:cs="Times New Roman"/>
          <w:b w:val="0"/>
          <w:bCs w:val="0"/>
          <w:color w:val="000000" w:themeColor="text1"/>
          <w:spacing w:val="0"/>
          <w:w w:val="100"/>
          <w:kern w:val="2"/>
          <w:position w:val="0"/>
          <w:sz w:val="32"/>
          <w:szCs w:val="32"/>
          <w:highlight w:val="none"/>
          <w:lang w:val="en-US" w:eastAsia="zh-CN" w:bidi="ar-SA"/>
          <w14:textFill>
            <w14:solidFill>
              <w14:schemeClr w14:val="tx1"/>
            </w14:solidFill>
          </w14:textFill>
        </w:rPr>
        <w:t>加大先进典型经验交流推广和反面典型案例曝光力度，推动从根本上消除事故隐患、从根本上解决问题，巩固安全生产长效机制。</w:t>
      </w:r>
    </w:p>
    <w:sectPr>
      <w:headerReference r:id="rId3" w:type="default"/>
      <w:footerReference r:id="rId4" w:type="default"/>
      <w:pgSz w:w="11906" w:h="16838"/>
      <w:pgMar w:top="2098" w:right="1531" w:bottom="1984" w:left="1531" w:header="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永中宋体">
    <w:altName w:val="宋体"/>
    <w:panose1 w:val="02010600030101010101"/>
    <w:charset w:val="00"/>
    <w:family w:val="auto"/>
    <w:pitch w:val="default"/>
    <w:sig w:usb0="00000000" w:usb1="00000000" w:usb2="00000000"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- 34 -</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- 34 -</w:t>
                    </w:r>
                    <w:r>
                      <w:rPr>
                        <w:rFonts w:hint="eastAsia" w:ascii="宋体" w:hAnsi="宋体" w:eastAsia="宋体" w:cs="宋体"/>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mMjM3NDllNDg0OWM5YTlmMjY1ZDEzNzdhYzBjNzQifQ=="/>
  </w:docVars>
  <w:rsids>
    <w:rsidRoot w:val="00AD4147"/>
    <w:rsid w:val="00035CF0"/>
    <w:rsid w:val="00045AA0"/>
    <w:rsid w:val="00084F8A"/>
    <w:rsid w:val="0009777C"/>
    <w:rsid w:val="000B5A01"/>
    <w:rsid w:val="001134D7"/>
    <w:rsid w:val="00140307"/>
    <w:rsid w:val="0015146B"/>
    <w:rsid w:val="0016315F"/>
    <w:rsid w:val="00192B0C"/>
    <w:rsid w:val="001B050D"/>
    <w:rsid w:val="001B7B59"/>
    <w:rsid w:val="001C6101"/>
    <w:rsid w:val="001E636D"/>
    <w:rsid w:val="002125EB"/>
    <w:rsid w:val="0022396C"/>
    <w:rsid w:val="002252AD"/>
    <w:rsid w:val="00285F46"/>
    <w:rsid w:val="00370E50"/>
    <w:rsid w:val="003A50CA"/>
    <w:rsid w:val="003B3760"/>
    <w:rsid w:val="00435881"/>
    <w:rsid w:val="005322BC"/>
    <w:rsid w:val="005511D0"/>
    <w:rsid w:val="005A7E8E"/>
    <w:rsid w:val="005D0AA8"/>
    <w:rsid w:val="005D2E61"/>
    <w:rsid w:val="00601C3D"/>
    <w:rsid w:val="00617539"/>
    <w:rsid w:val="00653361"/>
    <w:rsid w:val="0067222C"/>
    <w:rsid w:val="006D16AD"/>
    <w:rsid w:val="006E1D3F"/>
    <w:rsid w:val="00792DF2"/>
    <w:rsid w:val="007A4F31"/>
    <w:rsid w:val="008C056E"/>
    <w:rsid w:val="008F6501"/>
    <w:rsid w:val="008F6553"/>
    <w:rsid w:val="009013E1"/>
    <w:rsid w:val="00943104"/>
    <w:rsid w:val="00961858"/>
    <w:rsid w:val="009A497F"/>
    <w:rsid w:val="009B5295"/>
    <w:rsid w:val="009C5B9F"/>
    <w:rsid w:val="009D2A30"/>
    <w:rsid w:val="00A04F4A"/>
    <w:rsid w:val="00A16C70"/>
    <w:rsid w:val="00A244CB"/>
    <w:rsid w:val="00A46C1C"/>
    <w:rsid w:val="00A5137B"/>
    <w:rsid w:val="00AD4147"/>
    <w:rsid w:val="00B05FB4"/>
    <w:rsid w:val="00B32BC1"/>
    <w:rsid w:val="00B414FA"/>
    <w:rsid w:val="00B42E09"/>
    <w:rsid w:val="00B73983"/>
    <w:rsid w:val="00BA0880"/>
    <w:rsid w:val="00BA7642"/>
    <w:rsid w:val="00BB7993"/>
    <w:rsid w:val="00BD2E54"/>
    <w:rsid w:val="00BD6576"/>
    <w:rsid w:val="00BE0C5E"/>
    <w:rsid w:val="00C513D3"/>
    <w:rsid w:val="00C603F5"/>
    <w:rsid w:val="00CB04F2"/>
    <w:rsid w:val="00CB5060"/>
    <w:rsid w:val="00CC34D5"/>
    <w:rsid w:val="00CE5321"/>
    <w:rsid w:val="00D11003"/>
    <w:rsid w:val="00DA5E83"/>
    <w:rsid w:val="00DF3EBA"/>
    <w:rsid w:val="00E13610"/>
    <w:rsid w:val="00E428A4"/>
    <w:rsid w:val="00E42A77"/>
    <w:rsid w:val="00E87453"/>
    <w:rsid w:val="00EA233A"/>
    <w:rsid w:val="00EC060B"/>
    <w:rsid w:val="00F315DB"/>
    <w:rsid w:val="00F319E5"/>
    <w:rsid w:val="00F57C33"/>
    <w:rsid w:val="00F671EC"/>
    <w:rsid w:val="00FA5332"/>
    <w:rsid w:val="00FD5F74"/>
    <w:rsid w:val="00FD62D5"/>
    <w:rsid w:val="00FE6310"/>
    <w:rsid w:val="00FF48CC"/>
    <w:rsid w:val="011E5786"/>
    <w:rsid w:val="01606358"/>
    <w:rsid w:val="01F3069B"/>
    <w:rsid w:val="02DF15A2"/>
    <w:rsid w:val="044A45DD"/>
    <w:rsid w:val="05500BDA"/>
    <w:rsid w:val="05D77238"/>
    <w:rsid w:val="05DC2BDF"/>
    <w:rsid w:val="06997F82"/>
    <w:rsid w:val="06CA6008"/>
    <w:rsid w:val="0735572D"/>
    <w:rsid w:val="08290236"/>
    <w:rsid w:val="083B2790"/>
    <w:rsid w:val="0843449C"/>
    <w:rsid w:val="08EB4607"/>
    <w:rsid w:val="09750C0F"/>
    <w:rsid w:val="09CA1856"/>
    <w:rsid w:val="0A2319FA"/>
    <w:rsid w:val="0A7856F1"/>
    <w:rsid w:val="0B094050"/>
    <w:rsid w:val="0B1D155E"/>
    <w:rsid w:val="0BD53BE7"/>
    <w:rsid w:val="0C7D1FB3"/>
    <w:rsid w:val="0D2E2848"/>
    <w:rsid w:val="0D9D24E2"/>
    <w:rsid w:val="0E0944E3"/>
    <w:rsid w:val="0E39045D"/>
    <w:rsid w:val="0F6E34DA"/>
    <w:rsid w:val="0F7D0BE7"/>
    <w:rsid w:val="11A84C37"/>
    <w:rsid w:val="120D74E8"/>
    <w:rsid w:val="126C5077"/>
    <w:rsid w:val="12FC2F58"/>
    <w:rsid w:val="13930BB7"/>
    <w:rsid w:val="13D40DFD"/>
    <w:rsid w:val="140426E0"/>
    <w:rsid w:val="145246C7"/>
    <w:rsid w:val="14603B8B"/>
    <w:rsid w:val="14CD7B51"/>
    <w:rsid w:val="14DF1F69"/>
    <w:rsid w:val="14F11B31"/>
    <w:rsid w:val="15495310"/>
    <w:rsid w:val="1572154E"/>
    <w:rsid w:val="15B20129"/>
    <w:rsid w:val="15C40F54"/>
    <w:rsid w:val="15DA1999"/>
    <w:rsid w:val="160774B9"/>
    <w:rsid w:val="160C28FB"/>
    <w:rsid w:val="161672D6"/>
    <w:rsid w:val="164E4CC1"/>
    <w:rsid w:val="16585B40"/>
    <w:rsid w:val="16E53A5F"/>
    <w:rsid w:val="1763654B"/>
    <w:rsid w:val="186C52BE"/>
    <w:rsid w:val="18B21538"/>
    <w:rsid w:val="18B661F6"/>
    <w:rsid w:val="18FE20A4"/>
    <w:rsid w:val="191E6BCD"/>
    <w:rsid w:val="19555E8C"/>
    <w:rsid w:val="1978650A"/>
    <w:rsid w:val="19815ADA"/>
    <w:rsid w:val="19BB474F"/>
    <w:rsid w:val="1AFC69D8"/>
    <w:rsid w:val="1B124510"/>
    <w:rsid w:val="1B18637A"/>
    <w:rsid w:val="1B966EEF"/>
    <w:rsid w:val="1C7A1118"/>
    <w:rsid w:val="1C7F3507"/>
    <w:rsid w:val="1CDC1F5D"/>
    <w:rsid w:val="1DA13929"/>
    <w:rsid w:val="1EF95A3C"/>
    <w:rsid w:val="1F033447"/>
    <w:rsid w:val="21102899"/>
    <w:rsid w:val="213827F6"/>
    <w:rsid w:val="219C0FD7"/>
    <w:rsid w:val="21C51DFB"/>
    <w:rsid w:val="21EF6661"/>
    <w:rsid w:val="22310CA2"/>
    <w:rsid w:val="22397A57"/>
    <w:rsid w:val="22C40068"/>
    <w:rsid w:val="22EC5ECE"/>
    <w:rsid w:val="22F12E8E"/>
    <w:rsid w:val="22FB7F7F"/>
    <w:rsid w:val="23514AFC"/>
    <w:rsid w:val="236C4B91"/>
    <w:rsid w:val="23714E3B"/>
    <w:rsid w:val="24912D48"/>
    <w:rsid w:val="256D6AD9"/>
    <w:rsid w:val="259B3B97"/>
    <w:rsid w:val="25CA39BF"/>
    <w:rsid w:val="26F415C8"/>
    <w:rsid w:val="284877C3"/>
    <w:rsid w:val="285149A9"/>
    <w:rsid w:val="28FC2A17"/>
    <w:rsid w:val="290B76B2"/>
    <w:rsid w:val="290C4C0B"/>
    <w:rsid w:val="299149CA"/>
    <w:rsid w:val="29F06775"/>
    <w:rsid w:val="2A7E3970"/>
    <w:rsid w:val="2B305568"/>
    <w:rsid w:val="2C3F712F"/>
    <w:rsid w:val="2C5F7739"/>
    <w:rsid w:val="2C8903AA"/>
    <w:rsid w:val="2C9050F9"/>
    <w:rsid w:val="2C974D21"/>
    <w:rsid w:val="2D1D23FA"/>
    <w:rsid w:val="2D6573FA"/>
    <w:rsid w:val="2DAC4828"/>
    <w:rsid w:val="2DDD5CE2"/>
    <w:rsid w:val="2E1954FE"/>
    <w:rsid w:val="2E69513C"/>
    <w:rsid w:val="2F37233F"/>
    <w:rsid w:val="302A41CA"/>
    <w:rsid w:val="305063F5"/>
    <w:rsid w:val="30F72A07"/>
    <w:rsid w:val="31435C67"/>
    <w:rsid w:val="344F3C7E"/>
    <w:rsid w:val="35013C97"/>
    <w:rsid w:val="35564A6A"/>
    <w:rsid w:val="35EB5E12"/>
    <w:rsid w:val="36F047F3"/>
    <w:rsid w:val="36F60A9C"/>
    <w:rsid w:val="37863794"/>
    <w:rsid w:val="379210C2"/>
    <w:rsid w:val="37ED5C91"/>
    <w:rsid w:val="37F1560F"/>
    <w:rsid w:val="383E52D8"/>
    <w:rsid w:val="385479DB"/>
    <w:rsid w:val="385B4F95"/>
    <w:rsid w:val="386049C7"/>
    <w:rsid w:val="38C962D6"/>
    <w:rsid w:val="39363667"/>
    <w:rsid w:val="39895F9D"/>
    <w:rsid w:val="3A0F1B5F"/>
    <w:rsid w:val="3A271889"/>
    <w:rsid w:val="3A523805"/>
    <w:rsid w:val="3AF30C94"/>
    <w:rsid w:val="3B053BD7"/>
    <w:rsid w:val="3BEE1E3F"/>
    <w:rsid w:val="3C830620"/>
    <w:rsid w:val="3CD8354A"/>
    <w:rsid w:val="3CF313DA"/>
    <w:rsid w:val="3DC10B1F"/>
    <w:rsid w:val="3DF70197"/>
    <w:rsid w:val="3E2E782B"/>
    <w:rsid w:val="3E59448C"/>
    <w:rsid w:val="3EFF6CCF"/>
    <w:rsid w:val="3F9113F1"/>
    <w:rsid w:val="3FCD553E"/>
    <w:rsid w:val="3FD26EA0"/>
    <w:rsid w:val="40224945"/>
    <w:rsid w:val="4087757C"/>
    <w:rsid w:val="40920970"/>
    <w:rsid w:val="40AA543B"/>
    <w:rsid w:val="40C00ACD"/>
    <w:rsid w:val="40CB6510"/>
    <w:rsid w:val="40F57374"/>
    <w:rsid w:val="412933F4"/>
    <w:rsid w:val="41AC3C2C"/>
    <w:rsid w:val="43E75BE4"/>
    <w:rsid w:val="43FE5988"/>
    <w:rsid w:val="44001DD4"/>
    <w:rsid w:val="44BD0563"/>
    <w:rsid w:val="45092280"/>
    <w:rsid w:val="452A72D2"/>
    <w:rsid w:val="457D3752"/>
    <w:rsid w:val="45857508"/>
    <w:rsid w:val="46492A80"/>
    <w:rsid w:val="478F7A9B"/>
    <w:rsid w:val="47E033B1"/>
    <w:rsid w:val="484B2003"/>
    <w:rsid w:val="49941434"/>
    <w:rsid w:val="49B41596"/>
    <w:rsid w:val="49B84E23"/>
    <w:rsid w:val="4A191066"/>
    <w:rsid w:val="4AD821CA"/>
    <w:rsid w:val="4AE21BCC"/>
    <w:rsid w:val="4B016143"/>
    <w:rsid w:val="4B2A7DD5"/>
    <w:rsid w:val="4BCC53D4"/>
    <w:rsid w:val="4C0201F5"/>
    <w:rsid w:val="4C3352A8"/>
    <w:rsid w:val="4CB020AC"/>
    <w:rsid w:val="4CF316EC"/>
    <w:rsid w:val="4D1E2206"/>
    <w:rsid w:val="4DEC09D0"/>
    <w:rsid w:val="4E2E1B44"/>
    <w:rsid w:val="4E644F12"/>
    <w:rsid w:val="4EEC2A21"/>
    <w:rsid w:val="4F361AC3"/>
    <w:rsid w:val="4FD114F2"/>
    <w:rsid w:val="500D4152"/>
    <w:rsid w:val="504A6796"/>
    <w:rsid w:val="505C2730"/>
    <w:rsid w:val="50774531"/>
    <w:rsid w:val="507D6DB5"/>
    <w:rsid w:val="50833D05"/>
    <w:rsid w:val="50B21511"/>
    <w:rsid w:val="50B611CE"/>
    <w:rsid w:val="51870AAC"/>
    <w:rsid w:val="51B854FA"/>
    <w:rsid w:val="528357A5"/>
    <w:rsid w:val="52C06024"/>
    <w:rsid w:val="53326836"/>
    <w:rsid w:val="546C3108"/>
    <w:rsid w:val="5478142D"/>
    <w:rsid w:val="54923492"/>
    <w:rsid w:val="54E54C84"/>
    <w:rsid w:val="55157224"/>
    <w:rsid w:val="551F07E2"/>
    <w:rsid w:val="559F5E06"/>
    <w:rsid w:val="56431446"/>
    <w:rsid w:val="567E46AB"/>
    <w:rsid w:val="56B406CE"/>
    <w:rsid w:val="56D7393C"/>
    <w:rsid w:val="570F6DE4"/>
    <w:rsid w:val="57E94F70"/>
    <w:rsid w:val="580D18D4"/>
    <w:rsid w:val="583842EC"/>
    <w:rsid w:val="5922354D"/>
    <w:rsid w:val="59792072"/>
    <w:rsid w:val="599115B3"/>
    <w:rsid w:val="5A133E60"/>
    <w:rsid w:val="5A9353A2"/>
    <w:rsid w:val="5AA372A6"/>
    <w:rsid w:val="5AA97F14"/>
    <w:rsid w:val="5BBE0C0A"/>
    <w:rsid w:val="5BED49C2"/>
    <w:rsid w:val="5CB03D34"/>
    <w:rsid w:val="5D3F0D31"/>
    <w:rsid w:val="5D774631"/>
    <w:rsid w:val="5E0843A0"/>
    <w:rsid w:val="5E4162A8"/>
    <w:rsid w:val="5E417F44"/>
    <w:rsid w:val="5E99124A"/>
    <w:rsid w:val="5EBC54B0"/>
    <w:rsid w:val="5EE70CEC"/>
    <w:rsid w:val="5EF40CF1"/>
    <w:rsid w:val="5F59786F"/>
    <w:rsid w:val="604E1113"/>
    <w:rsid w:val="60D32ED1"/>
    <w:rsid w:val="60ED32F3"/>
    <w:rsid w:val="6128097C"/>
    <w:rsid w:val="61971B35"/>
    <w:rsid w:val="62412C25"/>
    <w:rsid w:val="624175D7"/>
    <w:rsid w:val="62E04A5C"/>
    <w:rsid w:val="638815B0"/>
    <w:rsid w:val="642D6AB8"/>
    <w:rsid w:val="65DD01DD"/>
    <w:rsid w:val="65F9228B"/>
    <w:rsid w:val="667F23B4"/>
    <w:rsid w:val="67920BCC"/>
    <w:rsid w:val="67D17FC6"/>
    <w:rsid w:val="689E193C"/>
    <w:rsid w:val="68E63EB3"/>
    <w:rsid w:val="69F1034A"/>
    <w:rsid w:val="6A6C2264"/>
    <w:rsid w:val="6B807286"/>
    <w:rsid w:val="6BDD0A8F"/>
    <w:rsid w:val="6BEC2FC2"/>
    <w:rsid w:val="6CA80F79"/>
    <w:rsid w:val="6CC8073C"/>
    <w:rsid w:val="6CD81AD1"/>
    <w:rsid w:val="6D573CCA"/>
    <w:rsid w:val="6D633AD7"/>
    <w:rsid w:val="6DB8406F"/>
    <w:rsid w:val="6E0C5857"/>
    <w:rsid w:val="6E1A6DEF"/>
    <w:rsid w:val="6EB67906"/>
    <w:rsid w:val="6ECB21B8"/>
    <w:rsid w:val="6ECF1A2C"/>
    <w:rsid w:val="6F175720"/>
    <w:rsid w:val="6F545204"/>
    <w:rsid w:val="707163ED"/>
    <w:rsid w:val="709B37D5"/>
    <w:rsid w:val="71461992"/>
    <w:rsid w:val="71F17B50"/>
    <w:rsid w:val="74512B28"/>
    <w:rsid w:val="74556634"/>
    <w:rsid w:val="745E62E1"/>
    <w:rsid w:val="74F83C6A"/>
    <w:rsid w:val="7504657F"/>
    <w:rsid w:val="75805140"/>
    <w:rsid w:val="75E63744"/>
    <w:rsid w:val="75F419BD"/>
    <w:rsid w:val="76852F5D"/>
    <w:rsid w:val="77C02934"/>
    <w:rsid w:val="780C56E8"/>
    <w:rsid w:val="781337FD"/>
    <w:rsid w:val="788E2496"/>
    <w:rsid w:val="78CF4229"/>
    <w:rsid w:val="790739C4"/>
    <w:rsid w:val="79AC41B9"/>
    <w:rsid w:val="79BD4636"/>
    <w:rsid w:val="79C274E2"/>
    <w:rsid w:val="79C4658A"/>
    <w:rsid w:val="7A007374"/>
    <w:rsid w:val="7A195E96"/>
    <w:rsid w:val="7A684727"/>
    <w:rsid w:val="7AAC6D0A"/>
    <w:rsid w:val="7AB81BE2"/>
    <w:rsid w:val="7B4031F3"/>
    <w:rsid w:val="7BB51BEE"/>
    <w:rsid w:val="7C56628F"/>
    <w:rsid w:val="7C5C4760"/>
    <w:rsid w:val="7C6D24C9"/>
    <w:rsid w:val="7C6F62EE"/>
    <w:rsid w:val="7CAC5DAA"/>
    <w:rsid w:val="7CEE7F95"/>
    <w:rsid w:val="7D4E22FA"/>
    <w:rsid w:val="7D506284"/>
    <w:rsid w:val="7DCB1DED"/>
    <w:rsid w:val="7DD7343D"/>
    <w:rsid w:val="7E181264"/>
    <w:rsid w:val="7E786213"/>
    <w:rsid w:val="7F4E10D1"/>
    <w:rsid w:val="7F893B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iPriority="99"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firstLineChars="200"/>
    </w:pPr>
  </w:style>
  <w:style w:type="paragraph" w:styleId="3">
    <w:name w:val="Body Text Indent"/>
    <w:basedOn w:val="1"/>
    <w:next w:val="4"/>
    <w:autoRedefine/>
    <w:qFormat/>
    <w:uiPriority w:val="0"/>
    <w:pPr>
      <w:spacing w:after="120"/>
      <w:ind w:left="420" w:leftChars="200"/>
    </w:pPr>
  </w:style>
  <w:style w:type="paragraph" w:styleId="4">
    <w:name w:val="Normal Indent"/>
    <w:basedOn w:val="1"/>
    <w:next w:val="1"/>
    <w:autoRedefine/>
    <w:qFormat/>
    <w:uiPriority w:val="0"/>
    <w:pPr>
      <w:ind w:firstLine="420" w:firstLineChars="200"/>
    </w:pPr>
  </w:style>
  <w:style w:type="paragraph" w:styleId="5">
    <w:name w:val="Salutation"/>
    <w:basedOn w:val="1"/>
    <w:next w:val="1"/>
    <w:autoRedefine/>
    <w:qFormat/>
    <w:uiPriority w:val="0"/>
    <w:rPr>
      <w:rFonts w:ascii="宋体" w:cs="宋体"/>
      <w:sz w:val="24"/>
      <w:szCs w:val="24"/>
    </w:rPr>
  </w:style>
  <w:style w:type="paragraph" w:styleId="6">
    <w:name w:val="Body Text"/>
    <w:basedOn w:val="1"/>
    <w:next w:val="1"/>
    <w:autoRedefine/>
    <w:qFormat/>
    <w:uiPriority w:val="1"/>
    <w:pPr>
      <w:spacing w:before="38"/>
      <w:ind w:left="106"/>
      <w:jc w:val="left"/>
    </w:pPr>
    <w:rPr>
      <w:rFonts w:ascii="仿宋_GB2312" w:hAnsi="仿宋_GB2312" w:eastAsia="仿宋_GB2312" w:cs="Times New Roman"/>
      <w:kern w:val="0"/>
      <w:sz w:val="32"/>
      <w:szCs w:val="32"/>
      <w:lang w:eastAsia="en-US"/>
    </w:rPr>
  </w:style>
  <w:style w:type="paragraph" w:styleId="7">
    <w:name w:val="HTML Address"/>
    <w:basedOn w:val="1"/>
    <w:autoRedefine/>
    <w:unhideWhenUsed/>
    <w:qFormat/>
    <w:uiPriority w:val="99"/>
    <w:rPr>
      <w:rFonts w:ascii="仿宋_GB2312" w:hAnsi="Times New Roman" w:eastAsia="仿宋_GB2312" w:cs="Times New Roman"/>
      <w:i/>
      <w:iCs/>
      <w:sz w:val="32"/>
      <w:szCs w:val="32"/>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仿宋_GB2312" w:hAnsi="Times New Roman" w:eastAsia="仿宋_GB2312" w:cs="Times New Roman"/>
      <w:sz w:val="18"/>
      <w:szCs w:val="32"/>
    </w:rPr>
  </w:style>
  <w:style w:type="paragraph" w:styleId="10">
    <w:name w:val="toc 1"/>
    <w:basedOn w:val="1"/>
    <w:next w:val="1"/>
    <w:autoRedefine/>
    <w:qFormat/>
    <w:uiPriority w:val="0"/>
    <w:pPr>
      <w:widowControl/>
      <w:spacing w:after="100" w:line="600" w:lineRule="exact"/>
      <w:jc w:val="left"/>
    </w:pPr>
    <w:rPr>
      <w:rFonts w:ascii="Calibri" w:hAnsi="Calibri" w:eastAsia="宋体" w:cs="Times New Roman"/>
      <w:kern w:val="0"/>
      <w:sz w:val="22"/>
    </w:rPr>
  </w:style>
  <w:style w:type="paragraph" w:styleId="11">
    <w:name w:val="List"/>
    <w:basedOn w:val="1"/>
    <w:autoRedefine/>
    <w:unhideWhenUsed/>
    <w:qFormat/>
    <w:uiPriority w:val="99"/>
    <w:pPr>
      <w:ind w:left="200" w:hanging="200" w:hangingChars="200"/>
      <w:contextualSpacing/>
    </w:pPr>
    <w:rPr>
      <w:rFonts w:ascii="仿宋_GB2312" w:hAnsi="Times New Roman" w:eastAsia="仿宋_GB2312" w:cs="Times New Roman"/>
      <w:sz w:val="32"/>
      <w:szCs w:val="32"/>
    </w:rPr>
  </w:style>
  <w:style w:type="paragraph" w:styleId="12">
    <w:name w:val="Message Header"/>
    <w:basedOn w:val="1"/>
    <w:next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仿宋_GB2312" w:cs="Times New Roman"/>
      <w:sz w:val="24"/>
      <w:szCs w:val="32"/>
    </w:rPr>
  </w:style>
  <w:style w:type="paragraph" w:styleId="13">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4">
    <w:name w:val="Title"/>
    <w:basedOn w:val="1"/>
    <w:next w:val="1"/>
    <w:autoRedefine/>
    <w:qFormat/>
    <w:uiPriority w:val="0"/>
    <w:pPr>
      <w:spacing w:before="240" w:after="60"/>
      <w:jc w:val="center"/>
      <w:outlineLvl w:val="0"/>
    </w:pPr>
    <w:rPr>
      <w:rFonts w:ascii="Cambria" w:hAnsi="Cambria" w:eastAsia="宋体" w:cs="Times New Roman"/>
      <w:b/>
      <w:sz w:val="32"/>
      <w:szCs w:val="20"/>
    </w:rPr>
  </w:style>
  <w:style w:type="paragraph" w:styleId="15">
    <w:name w:val="Body Text First Indent"/>
    <w:basedOn w:val="6"/>
    <w:autoRedefine/>
    <w:unhideWhenUsed/>
    <w:qFormat/>
    <w:uiPriority w:val="99"/>
    <w:pPr>
      <w:ind w:firstLine="420" w:firstLineChars="100"/>
    </w:p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rFonts w:ascii="Calibri" w:hAnsi="Calibri" w:eastAsia="宋体" w:cs="Times New Roman"/>
      <w:b/>
    </w:rPr>
  </w:style>
  <w:style w:type="character" w:styleId="20">
    <w:name w:val="Hyperlink"/>
    <w:basedOn w:val="18"/>
    <w:autoRedefine/>
    <w:qFormat/>
    <w:uiPriority w:val="0"/>
    <w:rPr>
      <w:rFonts w:ascii="Calibri" w:hAnsi="Calibri" w:eastAsia="宋体" w:cs="Times New Roman"/>
      <w:color w:val="0000FF"/>
      <w:u w:val="single"/>
    </w:rPr>
  </w:style>
  <w:style w:type="paragraph" w:customStyle="1" w:styleId="21">
    <w:name w:val="样式 行距: 固定值 28.9 磅"/>
    <w:basedOn w:val="1"/>
    <w:autoRedefine/>
    <w:qFormat/>
    <w:uiPriority w:val="0"/>
    <w:pPr>
      <w:spacing w:line="578" w:lineRule="exact"/>
    </w:pPr>
    <w:rPr>
      <w:rFonts w:cs="宋体"/>
      <w:szCs w:val="20"/>
    </w:rPr>
  </w:style>
  <w:style w:type="table" w:customStyle="1" w:styleId="22">
    <w:name w:val="Table Normal"/>
    <w:autoRedefine/>
    <w:unhideWhenUsed/>
    <w:qFormat/>
    <w:uiPriority w:val="2"/>
    <w:tblPr>
      <w:tblCellMar>
        <w:top w:w="0" w:type="dxa"/>
        <w:left w:w="0" w:type="dxa"/>
        <w:bottom w:w="0" w:type="dxa"/>
        <w:right w:w="0" w:type="dxa"/>
      </w:tblCellMar>
    </w:tblPr>
  </w:style>
  <w:style w:type="character" w:customStyle="1" w:styleId="23">
    <w:name w:val="正文 New Char"/>
    <w:link w:val="24"/>
    <w:autoRedefine/>
    <w:qFormat/>
    <w:uiPriority w:val="0"/>
    <w:rPr>
      <w:rFonts w:ascii="仿宋_GB2312" w:hAnsi="永中宋体" w:eastAsia="仿宋_GB2312" w:cs="永中宋体"/>
      <w:bCs/>
      <w:sz w:val="32"/>
      <w:szCs w:val="32"/>
      <w:lang w:val="en-US" w:eastAsia="zh-CN" w:bidi="ar-SA"/>
    </w:rPr>
  </w:style>
  <w:style w:type="paragraph" w:customStyle="1" w:styleId="24">
    <w:name w:val="正文 New"/>
    <w:next w:val="7"/>
    <w:link w:val="23"/>
    <w:autoRedefine/>
    <w:qFormat/>
    <w:uiPriority w:val="0"/>
    <w:pPr>
      <w:widowControl w:val="0"/>
      <w:jc w:val="both"/>
    </w:pPr>
    <w:rPr>
      <w:rFonts w:ascii="仿宋_GB2312" w:hAnsi="永中宋体" w:eastAsia="仿宋_GB2312" w:cs="永中宋体"/>
      <w:bCs/>
      <w:sz w:val="32"/>
      <w:szCs w:val="3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4857</Words>
  <Characters>5016</Characters>
  <Lines>0</Lines>
  <Paragraphs>0</Paragraphs>
  <TotalTime>8</TotalTime>
  <ScaleCrop>false</ScaleCrop>
  <LinksUpToDate>false</LinksUpToDate>
  <CharactersWithSpaces>5229</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宁静致远</cp:lastModifiedBy>
  <cp:lastPrinted>2024-03-18T10:07:00Z</cp:lastPrinted>
  <dcterms:modified xsi:type="dcterms:W3CDTF">2024-03-19T07:21:22Z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35F9ECFFDA6D44C2B080416DFB5B1CF1_13</vt:lpwstr>
  </property>
</Properties>
</file>