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60D3A">
      <w:pPr>
        <w:tabs>
          <w:tab w:val="left" w:pos="726"/>
        </w:tabs>
        <w:jc w:val="left"/>
        <w:rPr>
          <w:rFonts w:asciiTheme="majorEastAsia" w:hAnsiTheme="majorEastAsia" w:eastAsiaTheme="majorEastAsia" w:cstheme="majorEastAsia"/>
          <w:color w:val="000000"/>
          <w:spacing w:val="-17"/>
          <w:kern w:val="0"/>
          <w:sz w:val="36"/>
          <w:szCs w:val="36"/>
        </w:rPr>
      </w:pPr>
      <w:r>
        <w:rPr>
          <w:rFonts w:hint="eastAsia" w:ascii="仿宋_GB2312" w:hAnsi="仿宋_GB2312" w:eastAsia="仿宋_GB2312" w:cs="仿宋_GB2312"/>
          <w:sz w:val="32"/>
          <w:szCs w:val="32"/>
        </w:rPr>
        <w:t>附件1</w:t>
      </w:r>
    </w:p>
    <w:p w14:paraId="33563C58">
      <w:pPr>
        <w:tabs>
          <w:tab w:val="left" w:pos="726"/>
        </w:tabs>
        <w:jc w:val="center"/>
        <w:rPr>
          <w:rFonts w:ascii="黑体" w:hAnsi="黑体" w:eastAsia="黑体" w:cs="黑体"/>
          <w:color w:val="000000"/>
          <w:spacing w:val="-17"/>
          <w:kern w:val="0"/>
          <w:sz w:val="32"/>
          <w:szCs w:val="32"/>
        </w:rPr>
      </w:pPr>
      <w:r>
        <w:rPr>
          <w:rFonts w:hint="eastAsia" w:ascii="黑体" w:hAnsi="黑体" w:eastAsia="黑体" w:cs="黑体"/>
          <w:color w:val="000000"/>
          <w:spacing w:val="-17"/>
          <w:kern w:val="0"/>
          <w:sz w:val="32"/>
          <w:szCs w:val="32"/>
        </w:rPr>
        <w:t>滕州市中小学新课堂达标示范学科组创建申报表</w:t>
      </w:r>
    </w:p>
    <w:tbl>
      <w:tblPr>
        <w:tblStyle w:val="7"/>
        <w:tblpPr w:leftFromText="180" w:rightFromText="180" w:vertAnchor="text" w:horzAnchor="margin" w:tblpY="1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3139"/>
        <w:gridCol w:w="1057"/>
        <w:gridCol w:w="3442"/>
      </w:tblGrid>
      <w:tr w14:paraId="7F1D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19" w:type="dxa"/>
            <w:vAlign w:val="center"/>
          </w:tcPr>
          <w:p w14:paraId="0E55C062">
            <w:pPr>
              <w:jc w:val="center"/>
              <w:rPr>
                <w:sz w:val="24"/>
                <w:szCs w:val="24"/>
              </w:rPr>
            </w:pPr>
            <w:r>
              <w:rPr>
                <w:rFonts w:hint="eastAsia"/>
                <w:sz w:val="24"/>
                <w:szCs w:val="24"/>
              </w:rPr>
              <w:t>学校</w:t>
            </w:r>
          </w:p>
        </w:tc>
        <w:tc>
          <w:tcPr>
            <w:tcW w:w="3139" w:type="dxa"/>
            <w:vAlign w:val="center"/>
          </w:tcPr>
          <w:p w14:paraId="0AC21CDD">
            <w:pPr>
              <w:ind w:firstLine="720" w:firstLineChars="300"/>
              <w:jc w:val="both"/>
              <w:rPr>
                <w:rFonts w:hint="default" w:eastAsia="宋体"/>
                <w:sz w:val="24"/>
                <w:szCs w:val="24"/>
                <w:lang w:val="en-US" w:eastAsia="zh-CN"/>
              </w:rPr>
            </w:pPr>
            <w:r>
              <w:rPr>
                <w:rFonts w:hint="eastAsia"/>
                <w:sz w:val="24"/>
                <w:szCs w:val="24"/>
                <w:lang w:val="en-US" w:eastAsia="zh-CN"/>
              </w:rPr>
              <w:t>滕州市至善学校</w:t>
            </w:r>
          </w:p>
        </w:tc>
        <w:tc>
          <w:tcPr>
            <w:tcW w:w="1057" w:type="dxa"/>
            <w:vAlign w:val="center"/>
          </w:tcPr>
          <w:p w14:paraId="53D9F2AC">
            <w:pPr>
              <w:jc w:val="center"/>
              <w:rPr>
                <w:sz w:val="24"/>
                <w:szCs w:val="24"/>
              </w:rPr>
            </w:pPr>
            <w:r>
              <w:rPr>
                <w:rFonts w:hint="eastAsia"/>
                <w:sz w:val="24"/>
                <w:szCs w:val="24"/>
              </w:rPr>
              <w:t>拟创建学科</w:t>
            </w:r>
          </w:p>
        </w:tc>
        <w:tc>
          <w:tcPr>
            <w:tcW w:w="3442" w:type="dxa"/>
            <w:vAlign w:val="center"/>
          </w:tcPr>
          <w:p w14:paraId="6B3F86A6">
            <w:pPr>
              <w:jc w:val="center"/>
              <w:rPr>
                <w:rFonts w:hint="eastAsia" w:eastAsia="宋体"/>
                <w:sz w:val="24"/>
                <w:szCs w:val="24"/>
                <w:lang w:val="en-US" w:eastAsia="zh-CN"/>
              </w:rPr>
            </w:pPr>
            <w:r>
              <w:rPr>
                <w:rFonts w:hint="eastAsia"/>
                <w:sz w:val="24"/>
                <w:szCs w:val="24"/>
                <w:lang w:val="en-US" w:eastAsia="zh-CN"/>
              </w:rPr>
              <w:t>英语</w:t>
            </w:r>
          </w:p>
        </w:tc>
      </w:tr>
      <w:tr w14:paraId="3B4A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19" w:type="dxa"/>
            <w:vAlign w:val="center"/>
          </w:tcPr>
          <w:p w14:paraId="2B4A2A7A">
            <w:pPr>
              <w:jc w:val="center"/>
              <w:rPr>
                <w:sz w:val="24"/>
                <w:szCs w:val="24"/>
              </w:rPr>
            </w:pPr>
            <w:r>
              <w:rPr>
                <w:rFonts w:hint="eastAsia"/>
                <w:sz w:val="24"/>
                <w:szCs w:val="24"/>
              </w:rPr>
              <w:t>学科</w:t>
            </w:r>
          </w:p>
          <w:p w14:paraId="574C4D3B">
            <w:pPr>
              <w:jc w:val="center"/>
              <w:rPr>
                <w:sz w:val="24"/>
                <w:szCs w:val="24"/>
              </w:rPr>
            </w:pPr>
            <w:r>
              <w:rPr>
                <w:rFonts w:hint="eastAsia"/>
                <w:sz w:val="24"/>
                <w:szCs w:val="24"/>
              </w:rPr>
              <w:t>负责人</w:t>
            </w:r>
          </w:p>
        </w:tc>
        <w:tc>
          <w:tcPr>
            <w:tcW w:w="3139" w:type="dxa"/>
            <w:vAlign w:val="center"/>
          </w:tcPr>
          <w:p w14:paraId="253BB224">
            <w:pPr>
              <w:jc w:val="center"/>
              <w:rPr>
                <w:rFonts w:hint="eastAsia" w:eastAsia="宋体"/>
                <w:sz w:val="24"/>
                <w:szCs w:val="24"/>
                <w:lang w:val="en-US" w:eastAsia="zh-CN"/>
              </w:rPr>
            </w:pPr>
            <w:r>
              <w:rPr>
                <w:rFonts w:hint="eastAsia"/>
                <w:sz w:val="24"/>
                <w:szCs w:val="24"/>
                <w:lang w:val="en-US" w:eastAsia="zh-CN"/>
              </w:rPr>
              <w:t>秦丽丽</w:t>
            </w:r>
          </w:p>
        </w:tc>
        <w:tc>
          <w:tcPr>
            <w:tcW w:w="1057" w:type="dxa"/>
            <w:vAlign w:val="center"/>
          </w:tcPr>
          <w:p w14:paraId="7E2DE385">
            <w:pPr>
              <w:jc w:val="center"/>
              <w:rPr>
                <w:sz w:val="24"/>
                <w:szCs w:val="24"/>
              </w:rPr>
            </w:pPr>
            <w:r>
              <w:rPr>
                <w:rFonts w:hint="eastAsia"/>
                <w:sz w:val="24"/>
                <w:szCs w:val="24"/>
              </w:rPr>
              <w:t>联系</w:t>
            </w:r>
          </w:p>
          <w:p w14:paraId="417E5A5B">
            <w:pPr>
              <w:jc w:val="center"/>
              <w:rPr>
                <w:sz w:val="24"/>
                <w:szCs w:val="24"/>
              </w:rPr>
            </w:pPr>
            <w:r>
              <w:rPr>
                <w:rFonts w:hint="eastAsia"/>
                <w:sz w:val="24"/>
                <w:szCs w:val="24"/>
              </w:rPr>
              <w:t>电话</w:t>
            </w:r>
          </w:p>
        </w:tc>
        <w:tc>
          <w:tcPr>
            <w:tcW w:w="3442" w:type="dxa"/>
            <w:vAlign w:val="center"/>
          </w:tcPr>
          <w:p w14:paraId="275D2469">
            <w:pPr>
              <w:jc w:val="center"/>
              <w:rPr>
                <w:rFonts w:hint="default" w:eastAsia="宋体"/>
                <w:sz w:val="24"/>
                <w:szCs w:val="24"/>
                <w:lang w:val="en-US" w:eastAsia="zh-CN"/>
              </w:rPr>
            </w:pPr>
            <w:r>
              <w:rPr>
                <w:rFonts w:hint="eastAsia"/>
                <w:sz w:val="24"/>
                <w:szCs w:val="24"/>
                <w:lang w:val="en-US" w:eastAsia="zh-CN"/>
              </w:rPr>
              <w:t>15854683061</w:t>
            </w:r>
          </w:p>
        </w:tc>
      </w:tr>
      <w:tr w14:paraId="2D38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9" w:type="dxa"/>
            <w:vAlign w:val="center"/>
          </w:tcPr>
          <w:p w14:paraId="36B644C5">
            <w:pPr>
              <w:jc w:val="center"/>
              <w:rPr>
                <w:sz w:val="24"/>
                <w:szCs w:val="24"/>
              </w:rPr>
            </w:pPr>
            <w:r>
              <w:rPr>
                <w:rFonts w:hint="eastAsia"/>
                <w:sz w:val="24"/>
                <w:szCs w:val="24"/>
              </w:rPr>
              <w:t>学科建设基础</w:t>
            </w:r>
          </w:p>
        </w:tc>
        <w:tc>
          <w:tcPr>
            <w:tcW w:w="7638" w:type="dxa"/>
            <w:gridSpan w:val="3"/>
            <w:vAlign w:val="center"/>
          </w:tcPr>
          <w:p w14:paraId="45FD3E7F">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我校英语教研组有高级教师7人，中级教师19人，初级教师12人。其中获得研究生学历的有5人，本科学历29人.是一支具有40名专业教师，且老中青配比合理的团队。我校拥有枣庄名师</w:t>
            </w:r>
            <w:r>
              <w:rPr>
                <w:rFonts w:hint="eastAsia" w:asciiTheme="majorEastAsia" w:hAnsiTheme="majorEastAsia" w:eastAsiaTheme="majorEastAsia" w:cstheme="majorEastAsia"/>
                <w:b/>
                <w:bCs/>
                <w:color w:val="000000"/>
                <w:sz w:val="15"/>
                <w:szCs w:val="15"/>
                <w:highlight w:val="yellow"/>
                <w:lang w:val="en-US" w:eastAsia="zh-CN"/>
              </w:rPr>
              <w:t>2人</w:t>
            </w:r>
            <w:r>
              <w:rPr>
                <w:rFonts w:hint="eastAsia" w:asciiTheme="majorEastAsia" w:hAnsiTheme="majorEastAsia" w:eastAsiaTheme="majorEastAsia" w:cstheme="majorEastAsia"/>
                <w:b/>
                <w:bCs/>
                <w:color w:val="000000"/>
                <w:sz w:val="15"/>
                <w:szCs w:val="15"/>
                <w:lang w:val="en-US" w:eastAsia="zh-CN"/>
              </w:rPr>
              <w:t>，教学能手</w:t>
            </w:r>
            <w:r>
              <w:rPr>
                <w:rFonts w:hint="eastAsia" w:asciiTheme="majorEastAsia" w:hAnsiTheme="majorEastAsia" w:eastAsiaTheme="majorEastAsia" w:cstheme="majorEastAsia"/>
                <w:b/>
                <w:bCs/>
                <w:color w:val="000000"/>
                <w:sz w:val="15"/>
                <w:szCs w:val="15"/>
                <w:highlight w:val="yellow"/>
                <w:lang w:val="en-US" w:eastAsia="zh-CN"/>
              </w:rPr>
              <w:t xml:space="preserve"> 5人</w:t>
            </w:r>
            <w:r>
              <w:rPr>
                <w:rFonts w:hint="eastAsia" w:asciiTheme="majorEastAsia" w:hAnsiTheme="majorEastAsia" w:eastAsiaTheme="majorEastAsia" w:cstheme="majorEastAsia"/>
                <w:b/>
                <w:bCs/>
                <w:color w:val="000000"/>
                <w:sz w:val="15"/>
                <w:szCs w:val="15"/>
                <w:lang w:val="en-US" w:eastAsia="zh-CN"/>
              </w:rPr>
              <w:t xml:space="preserve">，骨干教师 </w:t>
            </w:r>
            <w:r>
              <w:rPr>
                <w:rFonts w:hint="eastAsia" w:asciiTheme="majorEastAsia" w:hAnsiTheme="majorEastAsia" w:eastAsiaTheme="majorEastAsia" w:cstheme="majorEastAsia"/>
                <w:b/>
                <w:bCs/>
                <w:color w:val="000000"/>
                <w:sz w:val="15"/>
                <w:szCs w:val="15"/>
                <w:highlight w:val="yellow"/>
                <w:lang w:val="en-US" w:eastAsia="zh-CN"/>
              </w:rPr>
              <w:t>14人。</w:t>
            </w:r>
            <w:r>
              <w:rPr>
                <w:rFonts w:hint="eastAsia" w:asciiTheme="majorEastAsia" w:hAnsiTheme="majorEastAsia" w:eastAsiaTheme="majorEastAsia" w:cstheme="majorEastAsia"/>
                <w:b/>
                <w:bCs/>
                <w:color w:val="000000"/>
                <w:sz w:val="15"/>
                <w:szCs w:val="15"/>
                <w:lang w:val="en-US" w:eastAsia="zh-CN"/>
              </w:rPr>
              <w:t>李琳琳老师为枣庄市名师工作室主持人，另有彭长青、秦丽丽等13人次老师为多个名师工作室骨干成员，多次组织并参与送教下乡的活动。我校李琳琳、王开波、彭长青、秦丽丽等教师多次组织并参与各类讲座和并多次在市优质课评比活动中担任评委。</w:t>
            </w:r>
          </w:p>
          <w:p w14:paraId="3FB4D384">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科研方面，李琳琳校长主持省级课题，并顺利结题。刘淑琴老师主持市级课题，并顺利结题。并有</w:t>
            </w:r>
            <w:r>
              <w:rPr>
                <w:rFonts w:hint="eastAsia" w:asciiTheme="majorEastAsia" w:hAnsiTheme="majorEastAsia" w:eastAsiaTheme="majorEastAsia" w:cstheme="majorEastAsia"/>
                <w:b/>
                <w:bCs/>
                <w:color w:val="000000"/>
                <w:sz w:val="15"/>
                <w:szCs w:val="15"/>
                <w:highlight w:val="yellow"/>
                <w:lang w:val="en-US" w:eastAsia="zh-CN"/>
              </w:rPr>
              <w:t>另8</w:t>
            </w:r>
            <w:r>
              <w:rPr>
                <w:rFonts w:hint="eastAsia" w:asciiTheme="majorEastAsia" w:hAnsiTheme="majorEastAsia" w:eastAsiaTheme="majorEastAsia" w:cstheme="majorEastAsia"/>
                <w:b/>
                <w:bCs/>
                <w:color w:val="000000"/>
                <w:sz w:val="15"/>
                <w:szCs w:val="15"/>
                <w:lang w:val="en-US" w:eastAsia="zh-CN"/>
              </w:rPr>
              <w:t>位老师为各级各类课题成员，发挥重要作用。有数十名老师深耕教育教学，在省级刊物发表学术论文。为了提升个人专业发展，提升教学质量，我校积极组织教师参与各级各类赛课讲课活动，最近几年我们英语组有2位老师获得一师一优课省优课，5位教师获得枣庄市一师一优课一等奖，7位老师获得枣庄市优质课一等奖，12位老师获得滕州市优质课一等奖；青年教师也在历届比赛中5次获得1-3年教师一等奖。</w:t>
            </w:r>
          </w:p>
          <w:p w14:paraId="361A5C2A">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我校英语组教师业务精湛，多次在各类业务评比活动中取得优异成绩，7次获得单元学历案评选一等奖。3次获得作业设计一等奖，3次获得作业设计二等奖。在最近的基本功大赛中，一位老师获得枣庄市一等奖，一位老师获得滕州市一等奖，两位老师获得滕州市二等奖。</w:t>
            </w:r>
          </w:p>
          <w:p w14:paraId="3EFBBBB8">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在“创新素养”理论下，以遵循学生成长规律为基础，我校英语组构建了“四至”作业体系，明确“至真类、至新类、至美类、至博类”四种作业设计形式，营造创造性环境。</w:t>
            </w:r>
          </w:p>
          <w:p w14:paraId="0EB2FA01">
            <w:pPr>
              <w:spacing w:line="560" w:lineRule="exact"/>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“至真”作业—打好知识基础，促进深度学习。“至新”作业—以主题式、项目式作业提升创新思维</w:t>
            </w:r>
          </w:p>
          <w:p w14:paraId="1AC361D3">
            <w:pPr>
              <w:spacing w:line="560" w:lineRule="exact"/>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“至美”作业—通过个性化作业设计，培养学生创新人格“至博”作业—以创新实践活动为重要抓手，使学生创新素养教育落地。</w:t>
            </w:r>
          </w:p>
          <w:p w14:paraId="6BF1949D">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（八） 我校英语组教学团队师资力量强，教学理念先进，英语学科的教学资源丰富，拥有完善的线上线下英语学习资源库供学生自主学习。我校英语学科教学质量名列前茅，多次在全市英语统考中平均分、优秀率均位于前列，英语成绩稳定且高分段学生占比可观；英语课堂教学满意度高，教师教学方法灵活多样，注重听说读写全面培养，积极开展英语书法比赛、英语单词拼写大赛等活动提升学生兴趣与实践能力。</w:t>
            </w:r>
          </w:p>
          <w:p w14:paraId="5A31326A">
            <w:pPr>
              <w:jc w:val="both"/>
              <w:rPr>
                <w:rFonts w:hint="eastAsia" w:asciiTheme="majorEastAsia" w:hAnsiTheme="majorEastAsia" w:eastAsiaTheme="majorEastAsia" w:cstheme="majorEastAsia"/>
                <w:sz w:val="15"/>
                <w:szCs w:val="15"/>
              </w:rPr>
            </w:pPr>
          </w:p>
        </w:tc>
      </w:tr>
      <w:tr w14:paraId="1722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2" w:hRule="atLeast"/>
        </w:trPr>
        <w:tc>
          <w:tcPr>
            <w:tcW w:w="1119" w:type="dxa"/>
            <w:vAlign w:val="center"/>
          </w:tcPr>
          <w:p w14:paraId="6AA83607">
            <w:pPr>
              <w:jc w:val="center"/>
              <w:rPr>
                <w:sz w:val="24"/>
                <w:szCs w:val="24"/>
              </w:rPr>
            </w:pPr>
            <w:r>
              <w:rPr>
                <w:rFonts w:hint="eastAsia"/>
                <w:sz w:val="24"/>
                <w:szCs w:val="24"/>
              </w:rPr>
              <w:t>创建</w:t>
            </w:r>
          </w:p>
          <w:p w14:paraId="522D9876">
            <w:pPr>
              <w:jc w:val="center"/>
              <w:rPr>
                <w:sz w:val="24"/>
                <w:szCs w:val="24"/>
              </w:rPr>
            </w:pPr>
            <w:r>
              <w:rPr>
                <w:rFonts w:hint="eastAsia"/>
                <w:sz w:val="24"/>
                <w:szCs w:val="24"/>
              </w:rPr>
              <w:t>计划</w:t>
            </w:r>
          </w:p>
        </w:tc>
        <w:tc>
          <w:tcPr>
            <w:tcW w:w="7638" w:type="dxa"/>
            <w:gridSpan w:val="3"/>
            <w:vAlign w:val="top"/>
          </w:tcPr>
          <w:p w14:paraId="68EEC33B">
            <w:pPr>
              <w:keepNext w:val="0"/>
              <w:keepLines w:val="0"/>
              <w:pageBreakBefore w:val="0"/>
              <w:widowControl w:val="0"/>
              <w:tabs>
                <w:tab w:val="left" w:pos="726"/>
              </w:tabs>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b/>
                <w:bCs/>
                <w:sz w:val="15"/>
                <w:szCs w:val="15"/>
                <w:lang w:val="en-US" w:eastAsia="zh-CN"/>
              </w:rPr>
              <w:t>第一阶段：创建启动（2024年8月</w:t>
            </w:r>
            <w:r>
              <w:rPr>
                <w:rFonts w:hint="eastAsia" w:asciiTheme="majorEastAsia" w:hAnsiTheme="majorEastAsia" w:eastAsiaTheme="majorEastAsia" w:cstheme="majorEastAsia"/>
                <w:b/>
                <w:bCs/>
                <w:color w:val="auto"/>
                <w:sz w:val="15"/>
                <w:szCs w:val="15"/>
                <w:lang w:val="en-US" w:eastAsia="zh-CN"/>
              </w:rPr>
              <w:t>～</w:t>
            </w:r>
            <w:r>
              <w:rPr>
                <w:rFonts w:hint="eastAsia" w:asciiTheme="majorEastAsia" w:hAnsiTheme="majorEastAsia" w:eastAsiaTheme="majorEastAsia" w:cstheme="majorEastAsia"/>
                <w:b/>
                <w:bCs/>
                <w:sz w:val="15"/>
                <w:szCs w:val="15"/>
                <w:lang w:val="en-US" w:eastAsia="zh-CN"/>
              </w:rPr>
              <w:t>2024年9月）</w:t>
            </w:r>
          </w:p>
          <w:p w14:paraId="027EFF85">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学校成立创建“新课堂达标示范学科组”领导小组，启动创建工作，落实任务，明确职责。</w:t>
            </w:r>
          </w:p>
          <w:p w14:paraId="53B595DA">
            <w:pPr>
              <w:spacing w:line="560" w:lineRule="exact"/>
              <w:ind w:firstLine="301" w:firstLineChars="200"/>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英语组梳理发展学科现状，提出申请申报创建达标学科组。</w:t>
            </w:r>
          </w:p>
          <w:p w14:paraId="3BFA6808">
            <w:pPr>
              <w:keepNext w:val="0"/>
              <w:keepLines w:val="0"/>
              <w:pageBreakBefore w:val="0"/>
              <w:widowControl w:val="0"/>
              <w:tabs>
                <w:tab w:val="left" w:pos="726"/>
              </w:tabs>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b/>
                <w:bCs/>
                <w:sz w:val="15"/>
                <w:szCs w:val="15"/>
                <w:lang w:val="en-US" w:eastAsia="zh-CN"/>
              </w:rPr>
            </w:pPr>
            <w:r>
              <w:rPr>
                <w:rFonts w:hint="eastAsia" w:asciiTheme="majorEastAsia" w:hAnsiTheme="majorEastAsia" w:eastAsiaTheme="majorEastAsia" w:cstheme="majorEastAsia"/>
                <w:b/>
                <w:bCs/>
                <w:sz w:val="15"/>
                <w:szCs w:val="15"/>
                <w:lang w:val="en-US" w:eastAsia="zh-CN"/>
              </w:rPr>
              <w:t>第二阶段：组织实施（2024年10月～2025年5月）</w:t>
            </w:r>
          </w:p>
          <w:p w14:paraId="4DD7209A">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英语组对标学校课程规划方案，做好年度工作方案，突出学科研究重点。并由10月份参与学校人人一堂达标课启动活动，由张文清老师执教了一堂示范课，拉开了达标课序幕。</w:t>
            </w:r>
          </w:p>
          <w:p w14:paraId="48FB12DC">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我们英语组按照学校工作方案有步骤地开展各项工作，做到教研活动规范化、教学资源多样化，积极进行学科教学改革，主动承担各级学科研讨任务，引领学科专业建设。</w:t>
            </w:r>
          </w:p>
          <w:p w14:paraId="3C35E1E1">
            <w:pPr>
              <w:keepNext w:val="0"/>
              <w:keepLines w:val="0"/>
              <w:pageBreakBefore w:val="0"/>
              <w:widowControl w:val="0"/>
              <w:tabs>
                <w:tab w:val="left" w:pos="726"/>
              </w:tabs>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b/>
                <w:bCs/>
                <w:sz w:val="15"/>
                <w:szCs w:val="15"/>
                <w:lang w:val="en-US" w:eastAsia="zh-CN"/>
              </w:rPr>
            </w:pPr>
            <w:r>
              <w:rPr>
                <w:rFonts w:hint="eastAsia" w:asciiTheme="majorEastAsia" w:hAnsiTheme="majorEastAsia" w:eastAsiaTheme="majorEastAsia" w:cstheme="majorEastAsia"/>
                <w:b/>
                <w:bCs/>
                <w:sz w:val="15"/>
                <w:szCs w:val="15"/>
                <w:lang w:val="en-US" w:eastAsia="zh-CN"/>
              </w:rPr>
              <w:t>第三阶段：创建认证（2025年5月～2025年6月）</w:t>
            </w:r>
          </w:p>
          <w:p w14:paraId="614651F7">
            <w:pPr>
              <w:spacing w:line="560" w:lineRule="exact"/>
              <w:ind w:firstLine="301" w:firstLineChars="200"/>
              <w:rPr>
                <w:rFonts w:hint="eastAsia" w:asciiTheme="majorEastAsia" w:hAnsiTheme="majorEastAsia" w:eastAsiaTheme="majorEastAsia" w:cstheme="majorEastAsia"/>
                <w:b/>
                <w:bCs/>
                <w:color w:val="000000"/>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英语组积极准备，通过教学研讨和“半天无课日”教研活动，商讨符合达标课的学历案，以及作业设计，建立作业设计集体备课制，努力开发校本作业资源，丰富英语学科教学资源库，发挥名师带头作用，形成一定的影响力，全力迎接各级的评估认证。</w:t>
            </w:r>
          </w:p>
          <w:p w14:paraId="570EB150">
            <w:pPr>
              <w:keepNext w:val="0"/>
              <w:keepLines w:val="0"/>
              <w:pageBreakBefore w:val="0"/>
              <w:widowControl w:val="0"/>
              <w:tabs>
                <w:tab w:val="left" w:pos="726"/>
              </w:tabs>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b/>
                <w:bCs/>
                <w:sz w:val="15"/>
                <w:szCs w:val="15"/>
                <w:lang w:val="en-US" w:eastAsia="zh-CN"/>
              </w:rPr>
            </w:pPr>
            <w:r>
              <w:rPr>
                <w:rFonts w:hint="eastAsia" w:asciiTheme="majorEastAsia" w:hAnsiTheme="majorEastAsia" w:eastAsiaTheme="majorEastAsia" w:cstheme="majorEastAsia"/>
                <w:b/>
                <w:bCs/>
                <w:sz w:val="15"/>
                <w:szCs w:val="15"/>
                <w:lang w:val="en-US" w:eastAsia="zh-CN"/>
              </w:rPr>
              <w:t>第四阶段：持续推进（2025年8月～2027年6月）</w:t>
            </w:r>
          </w:p>
          <w:p w14:paraId="1696ACD8">
            <w:pPr>
              <w:keepNext w:val="0"/>
              <w:keepLines w:val="0"/>
              <w:pageBreakBefore w:val="0"/>
              <w:widowControl w:val="0"/>
              <w:tabs>
                <w:tab w:val="left" w:pos="726"/>
              </w:tabs>
              <w:kinsoku/>
              <w:wordWrap/>
              <w:overflowPunct/>
              <w:topLinePunct w:val="0"/>
              <w:autoSpaceDE/>
              <w:autoSpaceDN/>
              <w:bidi w:val="0"/>
              <w:adjustRightInd/>
              <w:snapToGrid/>
              <w:spacing w:line="560" w:lineRule="exact"/>
              <w:ind w:firstLine="301" w:firstLineChars="200"/>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b/>
                <w:bCs/>
                <w:color w:val="000000"/>
                <w:sz w:val="15"/>
                <w:szCs w:val="15"/>
                <w:lang w:val="en-US" w:eastAsia="zh-CN"/>
              </w:rPr>
              <w:t>全力配合新一轮“新课堂达标示范学科组”创建工作，通过认证后严格按照示范学科组开展一系列活动。</w:t>
            </w:r>
          </w:p>
        </w:tc>
      </w:tr>
      <w:tr w14:paraId="0661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9" w:type="dxa"/>
            <w:vAlign w:val="center"/>
          </w:tcPr>
          <w:p w14:paraId="292757DB">
            <w:pPr>
              <w:jc w:val="center"/>
              <w:rPr>
                <w:sz w:val="24"/>
                <w:szCs w:val="24"/>
              </w:rPr>
            </w:pPr>
            <w:r>
              <w:rPr>
                <w:rFonts w:hint="eastAsia"/>
                <w:sz w:val="24"/>
                <w:szCs w:val="24"/>
              </w:rPr>
              <w:t>单位推荐意见</w:t>
            </w:r>
          </w:p>
        </w:tc>
        <w:tc>
          <w:tcPr>
            <w:tcW w:w="7638" w:type="dxa"/>
            <w:gridSpan w:val="3"/>
          </w:tcPr>
          <w:p w14:paraId="65624798">
            <w:pPr>
              <w:rPr>
                <w:rFonts w:ascii="宋体" w:hAnsi="宋体" w:cs="宋体"/>
                <w:sz w:val="24"/>
                <w:szCs w:val="24"/>
              </w:rPr>
            </w:pPr>
          </w:p>
        </w:tc>
      </w:tr>
      <w:tr w14:paraId="69B0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1119" w:type="dxa"/>
            <w:vAlign w:val="center"/>
          </w:tcPr>
          <w:p w14:paraId="6677BF35">
            <w:pPr>
              <w:jc w:val="center"/>
              <w:rPr>
                <w:sz w:val="24"/>
                <w:szCs w:val="24"/>
              </w:rPr>
            </w:pPr>
            <w:r>
              <w:rPr>
                <w:rFonts w:hint="eastAsia"/>
                <w:sz w:val="24"/>
                <w:szCs w:val="24"/>
              </w:rPr>
              <w:t>市级认证结果</w:t>
            </w:r>
          </w:p>
        </w:tc>
        <w:tc>
          <w:tcPr>
            <w:tcW w:w="7638" w:type="dxa"/>
            <w:gridSpan w:val="3"/>
          </w:tcPr>
          <w:p w14:paraId="1AEF4ED7">
            <w:pPr>
              <w:rPr>
                <w:rFonts w:ascii="宋体" w:hAnsi="宋体" w:cs="宋体"/>
                <w:sz w:val="24"/>
                <w:szCs w:val="24"/>
              </w:rPr>
            </w:pPr>
          </w:p>
        </w:tc>
      </w:tr>
    </w:tbl>
    <w:p w14:paraId="77E8CAAD">
      <w:pPr>
        <w:tabs>
          <w:tab w:val="left" w:pos="726"/>
        </w:tabs>
        <w:rPr>
          <w:rFonts w:hint="eastAsia" w:ascii="仿宋_GB2312" w:hAnsi="仿宋_GB2312" w:eastAsia="仿宋_GB2312" w:cs="仿宋_GB2312"/>
          <w:sz w:val="32"/>
          <w:szCs w:val="32"/>
        </w:rPr>
      </w:pPr>
      <w:bookmarkStart w:id="0" w:name="_GoBack"/>
      <w:bookmarkEnd w:id="0"/>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erif CJK JP">
    <w:altName w:val="Segoe Print"/>
    <w:panose1 w:val="00000000000000000000"/>
    <w:charset w:val="00"/>
    <w:family w:val="roman"/>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2MmQyOTBmMDRiMGE1MTE3YjRmNGViMDEyZTY4OWIifQ=="/>
  </w:docVars>
  <w:rsids>
    <w:rsidRoot w:val="27211BB6"/>
    <w:rsid w:val="000D1F10"/>
    <w:rsid w:val="00224420"/>
    <w:rsid w:val="002315F2"/>
    <w:rsid w:val="00237038"/>
    <w:rsid w:val="00245954"/>
    <w:rsid w:val="00273363"/>
    <w:rsid w:val="00287592"/>
    <w:rsid w:val="002F1341"/>
    <w:rsid w:val="0034233A"/>
    <w:rsid w:val="003A73E1"/>
    <w:rsid w:val="003B2AA8"/>
    <w:rsid w:val="003B79E0"/>
    <w:rsid w:val="004074AB"/>
    <w:rsid w:val="00467B29"/>
    <w:rsid w:val="004A5AFB"/>
    <w:rsid w:val="004D67CB"/>
    <w:rsid w:val="004F342E"/>
    <w:rsid w:val="006506EB"/>
    <w:rsid w:val="006A569F"/>
    <w:rsid w:val="006F3525"/>
    <w:rsid w:val="00707110"/>
    <w:rsid w:val="00713D68"/>
    <w:rsid w:val="0076543F"/>
    <w:rsid w:val="007D1FFD"/>
    <w:rsid w:val="007E6400"/>
    <w:rsid w:val="007F3C10"/>
    <w:rsid w:val="00826861"/>
    <w:rsid w:val="00873095"/>
    <w:rsid w:val="009411C8"/>
    <w:rsid w:val="009860F3"/>
    <w:rsid w:val="009D5C18"/>
    <w:rsid w:val="00A136C7"/>
    <w:rsid w:val="00A33F7E"/>
    <w:rsid w:val="00A63E59"/>
    <w:rsid w:val="00B02A08"/>
    <w:rsid w:val="00B14825"/>
    <w:rsid w:val="00B24B83"/>
    <w:rsid w:val="00B32B05"/>
    <w:rsid w:val="00B90647"/>
    <w:rsid w:val="00BF10EC"/>
    <w:rsid w:val="00BF3CED"/>
    <w:rsid w:val="00BF4456"/>
    <w:rsid w:val="00C55A41"/>
    <w:rsid w:val="00D342FA"/>
    <w:rsid w:val="00DD10F4"/>
    <w:rsid w:val="00E678EE"/>
    <w:rsid w:val="00ED19B2"/>
    <w:rsid w:val="00F22479"/>
    <w:rsid w:val="00FC1D56"/>
    <w:rsid w:val="00FD6CE8"/>
    <w:rsid w:val="00FF6F0C"/>
    <w:rsid w:val="01657E23"/>
    <w:rsid w:val="02B31B7A"/>
    <w:rsid w:val="03884856"/>
    <w:rsid w:val="03B4564B"/>
    <w:rsid w:val="055E3AC1"/>
    <w:rsid w:val="062F07A4"/>
    <w:rsid w:val="07771447"/>
    <w:rsid w:val="0A567F52"/>
    <w:rsid w:val="0FC5304C"/>
    <w:rsid w:val="13A434B2"/>
    <w:rsid w:val="13E6281E"/>
    <w:rsid w:val="14E44553"/>
    <w:rsid w:val="27211BB6"/>
    <w:rsid w:val="2BCD5E45"/>
    <w:rsid w:val="31633C5C"/>
    <w:rsid w:val="33861C20"/>
    <w:rsid w:val="359008EA"/>
    <w:rsid w:val="3854098F"/>
    <w:rsid w:val="3E837E92"/>
    <w:rsid w:val="3FA85B23"/>
    <w:rsid w:val="43420014"/>
    <w:rsid w:val="47DA173E"/>
    <w:rsid w:val="49FE27EA"/>
    <w:rsid w:val="4B526B2C"/>
    <w:rsid w:val="55FE0640"/>
    <w:rsid w:val="57193F55"/>
    <w:rsid w:val="58FC1D80"/>
    <w:rsid w:val="5CCE758F"/>
    <w:rsid w:val="62DF285B"/>
    <w:rsid w:val="67746990"/>
    <w:rsid w:val="6857154B"/>
    <w:rsid w:val="6D174F33"/>
    <w:rsid w:val="71F4202C"/>
    <w:rsid w:val="772A4A5E"/>
    <w:rsid w:val="7F4F00E0"/>
    <w:rsid w:val="7FAB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226"/>
    </w:pPr>
    <w:rPr>
      <w:rFonts w:ascii="Noto Serif CJK JP" w:hAnsi="Noto Serif CJK JP" w:eastAsia="Noto Serif CJK JP" w:cs="Noto Serif CJK JP"/>
      <w:sz w:val="32"/>
      <w:szCs w:val="32"/>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99"/>
    <w:pPr>
      <w:spacing w:line="660" w:lineRule="exact"/>
    </w:pPr>
    <w:rPr>
      <w:rFonts w:ascii="仿宋_GB2312" w:cs="仿宋_GB2312"/>
      <w:color w:val="000000"/>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26E5" w:themeColor="hyperlink"/>
      <w:u w:val="single"/>
      <w14:textFill>
        <w14:solidFill>
          <w14:schemeClr w14:val="hlink"/>
        </w14:solidFill>
      </w14:textFill>
    </w:rPr>
  </w:style>
  <w:style w:type="paragraph" w:customStyle="1" w:styleId="10">
    <w:name w:val="Table Paragraph"/>
    <w:basedOn w:val="1"/>
    <w:autoRedefine/>
    <w:qFormat/>
    <w:uiPriority w:val="1"/>
    <w:pPr>
      <w:jc w:val="center"/>
    </w:pPr>
    <w:rPr>
      <w:rFonts w:ascii="Noto Serif CJK JP" w:hAnsi="Noto Serif CJK JP" w:eastAsia="Noto Serif CJK JP" w:cs="Noto Serif CJK JP"/>
    </w:rPr>
  </w:style>
  <w:style w:type="character" w:customStyle="1" w:styleId="11">
    <w:name w:val="页眉 字符"/>
    <w:basedOn w:val="8"/>
    <w:link w:val="4"/>
    <w:qFormat/>
    <w:uiPriority w:val="0"/>
    <w:rPr>
      <w:rFonts w:ascii="Calibri" w:hAnsi="Calibri" w:eastAsia="宋体" w:cs="Times New Roman"/>
      <w:kern w:val="2"/>
      <w:sz w:val="18"/>
      <w:szCs w:val="18"/>
    </w:rPr>
  </w:style>
  <w:style w:type="character" w:customStyle="1" w:styleId="12">
    <w:name w:val="页脚 字符"/>
    <w:basedOn w:val="8"/>
    <w:link w:val="3"/>
    <w:qFormat/>
    <w:uiPriority w:val="0"/>
    <w:rPr>
      <w:rFonts w:ascii="Calibri" w:hAnsi="Calibri" w:eastAsia="宋体" w:cs="Times New Roman"/>
      <w:kern w:val="2"/>
      <w:sz w:val="18"/>
      <w:szCs w:val="18"/>
    </w:rPr>
  </w:style>
  <w:style w:type="character" w:customStyle="1" w:styleId="13">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1478</Words>
  <Characters>1523</Characters>
  <Lines>1</Lines>
  <Paragraphs>1</Paragraphs>
  <TotalTime>28</TotalTime>
  <ScaleCrop>false</ScaleCrop>
  <LinksUpToDate>false</LinksUpToDate>
  <CharactersWithSpaces>1526</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2024-11-11T06:45:00Z</dcterms:created>
  <dc:creator>听心</dc:creator>
  <cp:lastModifiedBy>admin</cp:lastModifiedBy>
  <cp:lastPrinted>2024-11-11T03:15:00Z</cp:lastPrinted>
  <dcterms:modified xsi:type="dcterms:W3CDTF">2024-11-13T03:47:34Z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3ADE70F4924F4035896D31C581ACD91D_13</vt:lpwstr>
  </property>
</Properties>
</file>