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63C58">
      <w:pPr>
        <w:tabs>
          <w:tab w:val="left" w:pos="726"/>
        </w:tabs>
        <w:jc w:val="center"/>
        <w:rPr>
          <w:rFonts w:ascii="黑体" w:hAnsi="黑体" w:eastAsia="黑体" w:cs="黑体"/>
          <w:color w:val="000000"/>
          <w:spacing w:val="-17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7"/>
        <w:tblpPr w:leftFromText="180" w:rightFromText="180" w:vertAnchor="text" w:horzAnchor="margin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139"/>
        <w:gridCol w:w="1057"/>
        <w:gridCol w:w="3442"/>
      </w:tblGrid>
      <w:tr w14:paraId="7F1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0E55C0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14:paraId="53D9F2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14:paraId="6B3F86A6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道德与法治</w:t>
            </w:r>
          </w:p>
        </w:tc>
      </w:tr>
      <w:tr w14:paraId="3B4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2B4A2A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张瑞苓</w:t>
            </w:r>
          </w:p>
        </w:tc>
        <w:tc>
          <w:tcPr>
            <w:tcW w:w="1057" w:type="dxa"/>
            <w:vAlign w:val="center"/>
          </w:tcPr>
          <w:p w14:paraId="7E2DE3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15763262071</w:t>
            </w:r>
          </w:p>
        </w:tc>
      </w:tr>
      <w:tr w14:paraId="2D3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1" w:hRule="atLeast"/>
        </w:trPr>
        <w:tc>
          <w:tcPr>
            <w:tcW w:w="1119" w:type="dxa"/>
            <w:vAlign w:val="center"/>
          </w:tcPr>
          <w:p w14:paraId="36B644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01105AD1">
            <w:pPr>
              <w:ind w:firstLine="480" w:firstLineChars="20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一、达标课堂建设</w:t>
            </w:r>
          </w:p>
          <w:p w14:paraId="564DBA85">
            <w:pPr>
              <w:ind w:firstLine="480" w:firstLineChars="20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1.建构满足学生发展需要、体现至善学校“精·和·善文化”教育理念的道德与法治课程体系，实践“大学之道”。</w:t>
            </w:r>
          </w:p>
          <w:p w14:paraId="16D29567">
            <w:pPr>
              <w:ind w:firstLine="480" w:firstLineChars="200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2.编制完善的道德与法治学期课程纲要及单元学历案。</w:t>
            </w:r>
          </w:p>
          <w:p w14:paraId="261D3355">
            <w:pPr>
              <w:ind w:firstLine="480" w:firstLineChars="20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二、教学方式变革</w:t>
            </w:r>
          </w:p>
          <w:p w14:paraId="4793324E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开展“四个一”达标活动，确保教师具备相应的学历案、授课和作业设计能力。探索多样化的教研模式，如项目和主题教研，以提高教学效果。采用跨学科教学方法，如项目式和探究式学习，促进学生高阶思维能力的发展，提高学习兴趣和目标达成率。</w:t>
            </w:r>
          </w:p>
          <w:p w14:paraId="41A23A5F">
            <w:pPr>
              <w:ind w:firstLine="480" w:firstLineChars="200"/>
              <w:jc w:val="left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三、作业教学管理</w:t>
            </w:r>
          </w:p>
          <w:p w14:paraId="30458779">
            <w:pPr>
              <w:ind w:firstLine="480" w:firstLineChars="200"/>
              <w:jc w:val="both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1. 实施教师集体备课，定期开会研究课程标准，共同设计创新作业，互相审阅并提出改进建议，定期反思并调整策略。</w:t>
            </w:r>
          </w:p>
          <w:p w14:paraId="5EB079AE">
            <w:pPr>
              <w:ind w:firstLine="480" w:firstLineChars="200"/>
              <w:jc w:val="both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2. 利用学历案和大单元教学开发校本作业资源。</w:t>
            </w:r>
          </w:p>
          <w:p w14:paraId="1FC863FE">
            <w:pPr>
              <w:ind w:firstLine="480" w:firstLineChars="200"/>
              <w:jc w:val="both"/>
              <w:rPr>
                <w:rFonts w:hint="eastAsia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3. 设立特定的作业检查和总量控制制度，特别关注学困生辅导。</w:t>
            </w:r>
          </w:p>
          <w:p w14:paraId="3D24D8A4">
            <w:pPr>
              <w:ind w:firstLine="480" w:firstLineChars="20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四、教学评价改革</w:t>
            </w:r>
          </w:p>
          <w:p w14:paraId="1B34147C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通过教学评价改革，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落实学生主体地位，开展差异化教学，实施“点亮课堂”行动，用评价点亮课堂，让学生眼中有光。</w:t>
            </w:r>
          </w:p>
          <w:p w14:paraId="4997DE39">
            <w:pPr>
              <w:ind w:firstLine="480" w:firstLineChars="20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五、数字化赋能教学模式变革</w:t>
            </w:r>
          </w:p>
          <w:p w14:paraId="29DFB71E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建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设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丰富多样的学科课程资源库，利用信息技术，实现教学资源的数字化管理和共享。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线上线下相结合，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推动课堂教学的互动性和趣味性。</w:t>
            </w:r>
          </w:p>
          <w:p w14:paraId="27C3C4FB">
            <w:pPr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充分利用国家智慧教育公共服务平台和滕州教育云平台中的资源，与教师教学深度融合。</w:t>
            </w:r>
          </w:p>
          <w:p w14:paraId="4FF33B39">
            <w:pPr>
              <w:ind w:firstLine="480" w:firstLineChars="20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六、教师教学能力提升</w:t>
            </w:r>
          </w:p>
          <w:p w14:paraId="7EA1A494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学科组成员教学能力突出，在区域内有一定影响力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，并在示范学科组创建中发挥着显著的带动作用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。李程——枣庄市兼职教研员，山东省优质课三等奖获得者，成立了李程学科中心团队；刘合英——滕州市兼职教研员，山东省优质课二等奖获得者；张瑞苓——滕州市兼职教研员，枣庄市思政课教学设计一等奖，枣庄市优质课二等奖，滕州市教学能手；</w:t>
            </w:r>
          </w:p>
          <w:p w14:paraId="07C91F83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郭亚楠——枣庄市优质课一等奖，执教枣庄市公开课，滕州市骨干教师。</w:t>
            </w:r>
          </w:p>
          <w:p w14:paraId="436FA5CD">
            <w:pPr>
              <w:ind w:firstLine="480" w:firstLineChars="200"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2024年，在侯钦宪老师的主持下，张瑞苓、刘连娣等五位老师的共同参与下，滕州市立项课题《初中道德与法治“备—教—学—评一致性”模型构建》顺利结题。</w:t>
            </w:r>
          </w:p>
        </w:tc>
      </w:tr>
      <w:tr w14:paraId="172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7" w:hRule="atLeast"/>
        </w:trPr>
        <w:tc>
          <w:tcPr>
            <w:tcW w:w="1119" w:type="dxa"/>
            <w:vAlign w:val="center"/>
          </w:tcPr>
          <w:p w14:paraId="6AA836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创建</w:t>
            </w:r>
          </w:p>
          <w:p w14:paraId="522D98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53886777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1.梳理学科发展现状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并填写了《滕州市中小学新课堂达标示范学科组申报表》</w:t>
            </w:r>
          </w:p>
          <w:p w14:paraId="2B97E396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2.制定实施计划，明确了目标和阶段性任务。</w:t>
            </w:r>
          </w:p>
          <w:p w14:paraId="48FB12DC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3.对标学校课程规划方案，做好年度工作方案，突出学科研究重点。</w:t>
            </w:r>
          </w:p>
          <w:p w14:paraId="7DA6DB71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4.按照工作方案有步骤地开展各项工作。</w:t>
            </w:r>
          </w:p>
          <w:p w14:paraId="71EBD3AD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5.学科组加强自我总结、自我优化，确保创建工作规范实施。</w:t>
            </w:r>
          </w:p>
          <w:p w14:paraId="78226A3E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（1）定期教研，不断更新教学理念和方法，以适应新时代教育的要求。</w:t>
            </w:r>
          </w:p>
          <w:p w14:paraId="391E0135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（2）积极参加各类培训和研讨会，不断提升自身的专业素养和教学技能。</w:t>
            </w:r>
          </w:p>
          <w:p w14:paraId="1D36F5E0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（3）定期组织教学观摩和经验交流活动，鼓励教师之间相互学习，共同进步。</w:t>
            </w:r>
          </w:p>
          <w:p w14:paraId="3DAE41B2">
            <w:pPr>
              <w:ind w:firstLine="480" w:firstLineChars="200"/>
              <w:jc w:val="both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（4）教学实践中注重学生个性化发展，采用差异化教学策略，满足不同学生的学习需求。</w:t>
            </w:r>
          </w:p>
          <w:p w14:paraId="044A5E76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6. 学科组注重教学成果的总结和推广，将成功的教学案例和经验分享给更广泛的教育工作者，以促进教育质量的整体提升。</w:t>
            </w:r>
          </w:p>
          <w:p w14:paraId="2D8BA0D2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</w:p>
          <w:p w14:paraId="4C63FA63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</w:p>
          <w:p w14:paraId="6A566FBB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</w:p>
          <w:p w14:paraId="34F6CE80">
            <w:pPr>
              <w:ind w:firstLine="480" w:firstLineChars="200"/>
              <w:jc w:val="both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</w:p>
          <w:p w14:paraId="6ECF7B7E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0661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119" w:type="dxa"/>
            <w:vAlign w:val="center"/>
          </w:tcPr>
          <w:p w14:paraId="292757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9B0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119" w:type="dxa"/>
            <w:vAlign w:val="center"/>
          </w:tcPr>
          <w:p w14:paraId="6677B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14:paraId="1AEF4ED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7E8CAAD">
      <w:pPr>
        <w:tabs>
          <w:tab w:val="left" w:pos="726"/>
        </w:tabs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Noto Serif CJK J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5ZWY5NjlmODA0NjQ4YmRhMDgwZjAxNTVkYjA2NjUifQ=="/>
  </w:docVars>
  <w:rsids>
    <w:rsidRoot w:val="27211BB6"/>
    <w:rsid w:val="000D1F10"/>
    <w:rsid w:val="00224420"/>
    <w:rsid w:val="002315F2"/>
    <w:rsid w:val="00237038"/>
    <w:rsid w:val="00245954"/>
    <w:rsid w:val="00273363"/>
    <w:rsid w:val="00287592"/>
    <w:rsid w:val="002F1341"/>
    <w:rsid w:val="0034233A"/>
    <w:rsid w:val="003A73E1"/>
    <w:rsid w:val="003B2AA8"/>
    <w:rsid w:val="003B79E0"/>
    <w:rsid w:val="004074AB"/>
    <w:rsid w:val="00467B29"/>
    <w:rsid w:val="004A5AFB"/>
    <w:rsid w:val="004D67CB"/>
    <w:rsid w:val="004F342E"/>
    <w:rsid w:val="006506EB"/>
    <w:rsid w:val="006A569F"/>
    <w:rsid w:val="006F3525"/>
    <w:rsid w:val="00707110"/>
    <w:rsid w:val="00713D68"/>
    <w:rsid w:val="0076543F"/>
    <w:rsid w:val="007D1FFD"/>
    <w:rsid w:val="007E6400"/>
    <w:rsid w:val="007F3C10"/>
    <w:rsid w:val="00826861"/>
    <w:rsid w:val="00873095"/>
    <w:rsid w:val="009411C8"/>
    <w:rsid w:val="009860F3"/>
    <w:rsid w:val="009D5C18"/>
    <w:rsid w:val="00A136C7"/>
    <w:rsid w:val="00A33F7E"/>
    <w:rsid w:val="00A63E59"/>
    <w:rsid w:val="00B02A08"/>
    <w:rsid w:val="00B14825"/>
    <w:rsid w:val="00B24B83"/>
    <w:rsid w:val="00B32B05"/>
    <w:rsid w:val="00B90647"/>
    <w:rsid w:val="00BF10EC"/>
    <w:rsid w:val="00BF3CED"/>
    <w:rsid w:val="00BF4456"/>
    <w:rsid w:val="00C55A41"/>
    <w:rsid w:val="00D342FA"/>
    <w:rsid w:val="00DD10F4"/>
    <w:rsid w:val="00E678EE"/>
    <w:rsid w:val="00ED19B2"/>
    <w:rsid w:val="00F22479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FC5304C"/>
    <w:rsid w:val="10C97AA3"/>
    <w:rsid w:val="13A434B2"/>
    <w:rsid w:val="13E6281E"/>
    <w:rsid w:val="14E44553"/>
    <w:rsid w:val="1BBB0D8E"/>
    <w:rsid w:val="27211BB6"/>
    <w:rsid w:val="2BCD5E45"/>
    <w:rsid w:val="31633C5C"/>
    <w:rsid w:val="3854098F"/>
    <w:rsid w:val="3AAF6957"/>
    <w:rsid w:val="3E837E92"/>
    <w:rsid w:val="3FA85B23"/>
    <w:rsid w:val="43420014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71F4202C"/>
    <w:rsid w:val="74E85B8B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99"/>
    <w:pPr>
      <w:spacing w:line="660" w:lineRule="exact"/>
    </w:pPr>
    <w:rPr>
      <w:rFonts w:ascii="仿宋_GB2312" w:cs="仿宋_GB2312"/>
      <w:color w:val="000000"/>
    </w:rPr>
  </w:style>
  <w:style w:type="paragraph" w:styleId="3">
    <w:name w:val="Body Text"/>
    <w:basedOn w:val="1"/>
    <w:qFormat/>
    <w:uiPriority w:val="1"/>
    <w:pPr>
      <w:ind w:left="226"/>
    </w:pPr>
    <w:rPr>
      <w:rFonts w:ascii="Noto Serif CJK JP" w:hAnsi="Noto Serif CJK JP" w:eastAsia="Noto Serif CJK JP" w:cs="Noto Serif CJK JP"/>
      <w:sz w:val="32"/>
      <w:szCs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Table Paragraph"/>
    <w:basedOn w:val="1"/>
    <w:autoRedefine/>
    <w:qFormat/>
    <w:uiPriority w:val="1"/>
    <w:pPr>
      <w:jc w:val="center"/>
    </w:pPr>
    <w:rPr>
      <w:rFonts w:ascii="Noto Serif CJK JP" w:hAnsi="Noto Serif CJK JP" w:eastAsia="Noto Serif CJK JP" w:cs="Noto Serif CJK JP"/>
    </w:rPr>
  </w:style>
  <w:style w:type="character" w:customStyle="1" w:styleId="11">
    <w:name w:val="页眉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6927</Words>
  <Characters>6963</Characters>
  <Lines>1</Lines>
  <Paragraphs>1</Paragraphs>
  <TotalTime>28</TotalTime>
  <ScaleCrop>false</ScaleCrop>
  <LinksUpToDate>false</LinksUpToDate>
  <CharactersWithSpaces>6965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2024-11-11T06:45:00Z</dcterms:created>
  <dc:creator>听心</dc:creator>
  <cp:lastModifiedBy>zuyi rei-Obake</cp:lastModifiedBy>
  <cp:lastPrinted>2024-11-11T03:15:00Z</cp:lastPrinted>
  <dcterms:modified xsi:type="dcterms:W3CDTF">2024-11-13T02:50:56Z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976A646119F0466CB4872FC321DBD401_13</vt:lpwstr>
  </property>
</Properties>
</file>