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618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1" w:afterAutospacing="0" w:line="600" w:lineRule="exact"/>
        <w:ind w:left="0" w:firstLine="0"/>
        <w:jc w:val="center"/>
        <w:textAlignment w:val="auto"/>
        <w:rPr>
          <w:rFonts w:ascii="sans-serif" w:hAnsi="sans-serif" w:eastAsia="sans-serif" w:cs="sans-serif"/>
          <w:i w:val="0"/>
          <w:iCs w:val="0"/>
          <w:caps w:val="0"/>
          <w:color w:val="000000"/>
          <w:spacing w:val="0"/>
          <w:sz w:val="27"/>
          <w:szCs w:val="27"/>
        </w:rPr>
      </w:pPr>
      <w:r>
        <w:rPr>
          <w:rFonts w:ascii="方正小标宋简体" w:hAnsi="方正小标宋简体" w:eastAsia="方正小标宋简体" w:cs="方正小标宋简体"/>
          <w:i w:val="0"/>
          <w:iCs w:val="0"/>
          <w:caps w:val="0"/>
          <w:color w:val="333333"/>
          <w:spacing w:val="0"/>
          <w:sz w:val="44"/>
          <w:szCs w:val="44"/>
          <w:shd w:val="clear" w:fill="FFFFFF"/>
        </w:rPr>
        <w:t>滕州微山湖湿地管理委员会</w:t>
      </w:r>
    </w:p>
    <w:p w14:paraId="7C58A3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101" w:afterAutospacing="0" w:line="600" w:lineRule="exact"/>
        <w:ind w:lef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shd w:val="clear" w:fill="FFFFFF"/>
        </w:rPr>
      </w:pPr>
      <w:r>
        <w:rPr>
          <w:rFonts w:hint="eastAsia" w:ascii="方正小标宋简体" w:hAnsi="方正小标宋简体" w:eastAsia="方正小标宋简体" w:cs="方正小标宋简体"/>
          <w:i w:val="0"/>
          <w:iCs w:val="0"/>
          <w:caps w:val="0"/>
          <w:color w:val="333333"/>
          <w:spacing w:val="0"/>
          <w:sz w:val="44"/>
          <w:szCs w:val="44"/>
          <w:shd w:val="clear" w:fill="FFFFFF"/>
        </w:rPr>
        <w:t>202</w:t>
      </w:r>
      <w:r>
        <w:rPr>
          <w:rFonts w:hint="eastAsia" w:ascii="方正小标宋简体" w:hAnsi="方正小标宋简体" w:eastAsia="方正小标宋简体" w:cs="方正小标宋简体"/>
          <w:i w:val="0"/>
          <w:iCs w:val="0"/>
          <w:caps w:val="0"/>
          <w:color w:val="333333"/>
          <w:spacing w:val="0"/>
          <w:sz w:val="44"/>
          <w:szCs w:val="44"/>
          <w:shd w:val="clear" w:fill="FFFFFF"/>
          <w:lang w:val="en-US" w:eastAsia="zh-CN"/>
        </w:rPr>
        <w:t>4</w:t>
      </w:r>
      <w:r>
        <w:rPr>
          <w:rFonts w:hint="eastAsia" w:ascii="方正小标宋简体" w:hAnsi="方正小标宋简体" w:eastAsia="方正小标宋简体" w:cs="方正小标宋简体"/>
          <w:i w:val="0"/>
          <w:iCs w:val="0"/>
          <w:caps w:val="0"/>
          <w:color w:val="333333"/>
          <w:spacing w:val="0"/>
          <w:sz w:val="44"/>
          <w:szCs w:val="44"/>
          <w:shd w:val="clear" w:fill="FFFFFF"/>
        </w:rPr>
        <w:t>年</w:t>
      </w:r>
      <w:r>
        <w:rPr>
          <w:rFonts w:hint="eastAsia" w:ascii="方正小标宋简体" w:hAnsi="方正小标宋简体" w:eastAsia="方正小标宋简体" w:cs="方正小标宋简体"/>
          <w:i w:val="0"/>
          <w:iCs w:val="0"/>
          <w:caps w:val="0"/>
          <w:color w:val="333333"/>
          <w:spacing w:val="0"/>
          <w:sz w:val="44"/>
          <w:szCs w:val="44"/>
          <w:shd w:val="clear" w:fill="FFFFFF"/>
          <w:lang w:val="en-US" w:eastAsia="zh-CN"/>
        </w:rPr>
        <w:t>政府信息</w:t>
      </w:r>
      <w:r>
        <w:rPr>
          <w:rFonts w:hint="eastAsia" w:ascii="方正小标宋简体" w:hAnsi="方正小标宋简体" w:eastAsia="方正小标宋简体" w:cs="方正小标宋简体"/>
          <w:i w:val="0"/>
          <w:iCs w:val="0"/>
          <w:caps w:val="0"/>
          <w:color w:val="333333"/>
          <w:spacing w:val="0"/>
          <w:sz w:val="44"/>
          <w:szCs w:val="44"/>
          <w:shd w:val="clear" w:fill="FFFFFF"/>
        </w:rPr>
        <w:t>公开</w:t>
      </w:r>
      <w:r>
        <w:rPr>
          <w:rFonts w:hint="eastAsia" w:ascii="方正小标宋简体" w:hAnsi="方正小标宋简体" w:eastAsia="方正小标宋简体" w:cs="方正小标宋简体"/>
          <w:i w:val="0"/>
          <w:iCs w:val="0"/>
          <w:caps w:val="0"/>
          <w:color w:val="333333"/>
          <w:spacing w:val="0"/>
          <w:sz w:val="44"/>
          <w:szCs w:val="44"/>
          <w:shd w:val="clear" w:fill="FFFFFF"/>
          <w:lang w:val="en-US" w:eastAsia="zh-CN"/>
        </w:rPr>
        <w:t>工作</w:t>
      </w:r>
      <w:r>
        <w:rPr>
          <w:rFonts w:hint="eastAsia" w:ascii="方正小标宋简体" w:hAnsi="方正小标宋简体" w:eastAsia="方正小标宋简体" w:cs="方正小标宋简体"/>
          <w:i w:val="0"/>
          <w:iCs w:val="0"/>
          <w:caps w:val="0"/>
          <w:color w:val="333333"/>
          <w:spacing w:val="0"/>
          <w:sz w:val="44"/>
          <w:szCs w:val="44"/>
          <w:shd w:val="clear" w:fill="FFFFFF"/>
        </w:rPr>
        <w:t>年度报告</w:t>
      </w:r>
    </w:p>
    <w:p w14:paraId="60E429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101" w:afterAutospacing="0" w:line="600" w:lineRule="exact"/>
        <w:ind w:left="0" w:firstLine="0"/>
        <w:jc w:val="center"/>
        <w:textAlignment w:val="auto"/>
        <w:rPr>
          <w:rFonts w:hint="default" w:ascii="方正小标宋简体" w:hAnsi="方正小标宋简体" w:eastAsia="方正小标宋简体" w:cs="方正小标宋简体"/>
          <w:i w:val="0"/>
          <w:iCs w:val="0"/>
          <w:caps w:val="0"/>
          <w:color w:val="333333"/>
          <w:spacing w:val="0"/>
          <w:sz w:val="44"/>
          <w:szCs w:val="44"/>
          <w:shd w:val="clear" w:fill="FFFFFF"/>
        </w:rPr>
      </w:pPr>
    </w:p>
    <w:p w14:paraId="20B2512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1" w:beforeAutospacing="0" w:after="0" w:afterAutospacing="0" w:line="560" w:lineRule="exact"/>
        <w:ind w:left="0" w:firstLine="640" w:firstLineChars="200"/>
        <w:jc w:val="left"/>
        <w:textAlignment w:val="auto"/>
        <w:rPr>
          <w:rFonts w:hint="eastAsia" w:ascii="仿宋_GB2312" w:hAnsi="sans-serif" w:eastAsia="仿宋_GB2312" w:cs="仿宋_GB2312"/>
          <w:i w:val="0"/>
          <w:iCs w:val="0"/>
          <w:caps w:val="0"/>
          <w:color w:val="000000"/>
          <w:spacing w:val="0"/>
          <w:sz w:val="32"/>
          <w:szCs w:val="32"/>
          <w:shd w:val="clear" w:fill="FFFFFF"/>
        </w:rPr>
      </w:pPr>
      <w:r>
        <w:rPr>
          <w:rFonts w:hint="eastAsia" w:ascii="仿宋_GB2312" w:hAnsi="sans-serif" w:eastAsia="仿宋_GB2312" w:cs="仿宋_GB2312"/>
          <w:i w:val="0"/>
          <w:iCs w:val="0"/>
          <w:caps w:val="0"/>
          <w:color w:val="000000"/>
          <w:spacing w:val="0"/>
          <w:sz w:val="32"/>
          <w:szCs w:val="32"/>
          <w:shd w:val="clear" w:fill="FFFFFF"/>
          <w:lang w:val="en-US" w:eastAsia="zh-CN"/>
        </w:rPr>
        <w:t>按照有关文件精神和</w:t>
      </w:r>
      <w:r>
        <w:rPr>
          <w:rFonts w:hint="eastAsia" w:ascii="仿宋_GB2312" w:hAnsi="sans-serif" w:eastAsia="仿宋_GB2312" w:cs="仿宋_GB2312"/>
          <w:i w:val="0"/>
          <w:iCs w:val="0"/>
          <w:caps w:val="0"/>
          <w:color w:val="000000"/>
          <w:spacing w:val="0"/>
          <w:sz w:val="32"/>
          <w:szCs w:val="32"/>
          <w:shd w:val="clear" w:fill="FFFFFF"/>
        </w:rPr>
        <w:t>湿地管委会</w:t>
      </w:r>
      <w:r>
        <w:rPr>
          <w:rFonts w:hint="eastAsia" w:ascii="仿宋_GB2312" w:hAnsi="sans-serif" w:eastAsia="仿宋_GB2312" w:cs="仿宋_GB2312"/>
          <w:i w:val="0"/>
          <w:iCs w:val="0"/>
          <w:caps w:val="0"/>
          <w:color w:val="000000"/>
          <w:spacing w:val="0"/>
          <w:sz w:val="32"/>
          <w:szCs w:val="32"/>
          <w:shd w:val="clear" w:fill="FFFFFF"/>
          <w:lang w:eastAsia="zh-CN"/>
        </w:rPr>
        <w:t>202</w:t>
      </w:r>
      <w:r>
        <w:rPr>
          <w:rFonts w:hint="eastAsia" w:ascii="仿宋_GB2312" w:hAnsi="sans-serif" w:eastAsia="仿宋_GB2312" w:cs="仿宋_GB2312"/>
          <w:i w:val="0"/>
          <w:iCs w:val="0"/>
          <w:caps w:val="0"/>
          <w:color w:val="000000"/>
          <w:spacing w:val="0"/>
          <w:sz w:val="32"/>
          <w:szCs w:val="32"/>
          <w:shd w:val="clear" w:fill="FFFFFF"/>
          <w:lang w:val="en-US" w:eastAsia="zh-CN"/>
        </w:rPr>
        <w:t>4</w:t>
      </w:r>
      <w:r>
        <w:rPr>
          <w:rFonts w:hint="eastAsia" w:ascii="仿宋_GB2312" w:hAnsi="sans-serif" w:eastAsia="仿宋_GB2312" w:cs="仿宋_GB2312"/>
          <w:i w:val="0"/>
          <w:iCs w:val="0"/>
          <w:caps w:val="0"/>
          <w:color w:val="000000"/>
          <w:spacing w:val="0"/>
          <w:sz w:val="32"/>
          <w:szCs w:val="32"/>
          <w:shd w:val="clear" w:fill="FFFFFF"/>
          <w:lang w:eastAsia="zh-CN"/>
        </w:rPr>
        <w:t>年度信息公开工作实际，编制本报告，现向社会公开。本报告所列数据的统计时限自202</w:t>
      </w:r>
      <w:r>
        <w:rPr>
          <w:rFonts w:hint="eastAsia" w:ascii="仿宋_GB2312" w:hAnsi="sans-serif" w:eastAsia="仿宋_GB2312" w:cs="仿宋_GB2312"/>
          <w:i w:val="0"/>
          <w:iCs w:val="0"/>
          <w:caps w:val="0"/>
          <w:color w:val="000000"/>
          <w:spacing w:val="0"/>
          <w:sz w:val="32"/>
          <w:szCs w:val="32"/>
          <w:shd w:val="clear" w:fill="FFFFFF"/>
          <w:lang w:val="en-US" w:eastAsia="zh-CN"/>
        </w:rPr>
        <w:t>4</w:t>
      </w:r>
      <w:r>
        <w:rPr>
          <w:rFonts w:hint="eastAsia" w:ascii="仿宋_GB2312" w:hAnsi="sans-serif" w:eastAsia="仿宋_GB2312" w:cs="仿宋_GB2312"/>
          <w:i w:val="0"/>
          <w:iCs w:val="0"/>
          <w:caps w:val="0"/>
          <w:color w:val="000000"/>
          <w:spacing w:val="0"/>
          <w:sz w:val="32"/>
          <w:szCs w:val="32"/>
          <w:shd w:val="clear" w:fill="FFFFFF"/>
          <w:lang w:eastAsia="zh-CN"/>
        </w:rPr>
        <w:t>年1月1日起至202</w:t>
      </w:r>
      <w:r>
        <w:rPr>
          <w:rFonts w:hint="eastAsia" w:ascii="仿宋_GB2312" w:hAnsi="sans-serif" w:eastAsia="仿宋_GB2312" w:cs="仿宋_GB2312"/>
          <w:i w:val="0"/>
          <w:iCs w:val="0"/>
          <w:caps w:val="0"/>
          <w:color w:val="000000"/>
          <w:spacing w:val="0"/>
          <w:sz w:val="32"/>
          <w:szCs w:val="32"/>
          <w:shd w:val="clear" w:fill="FFFFFF"/>
          <w:lang w:val="en-US" w:eastAsia="zh-CN"/>
        </w:rPr>
        <w:t>4</w:t>
      </w:r>
      <w:r>
        <w:rPr>
          <w:rFonts w:hint="eastAsia" w:ascii="仿宋_GB2312" w:hAnsi="sans-serif" w:eastAsia="仿宋_GB2312" w:cs="仿宋_GB2312"/>
          <w:i w:val="0"/>
          <w:iCs w:val="0"/>
          <w:caps w:val="0"/>
          <w:color w:val="000000"/>
          <w:spacing w:val="0"/>
          <w:sz w:val="32"/>
          <w:szCs w:val="32"/>
          <w:shd w:val="clear" w:fill="FFFFFF"/>
          <w:lang w:eastAsia="zh-CN"/>
        </w:rPr>
        <w:t>年12月31日止。</w:t>
      </w:r>
    </w:p>
    <w:p w14:paraId="36761991">
      <w:pPr>
        <w:pStyle w:val="4"/>
        <w:keepNext w:val="0"/>
        <w:keepLines w:val="0"/>
        <w:pageBreakBefore w:val="0"/>
        <w:widowControl/>
        <w:suppressLineNumbers w:val="0"/>
        <w:kinsoku/>
        <w:wordWrap/>
        <w:overflowPunct/>
        <w:topLinePunct w:val="0"/>
        <w:autoSpaceDE/>
        <w:autoSpaceDN/>
        <w:bidi w:val="0"/>
        <w:adjustRightInd/>
        <w:snapToGrid/>
        <w:spacing w:before="101" w:beforeAutospacing="0" w:after="0" w:afterAutospacing="0" w:line="560" w:lineRule="exact"/>
        <w:ind w:left="0" w:firstLine="619"/>
        <w:jc w:val="left"/>
        <w:textAlignment w:val="auto"/>
        <w:rPr>
          <w:rFonts w:hint="default" w:ascii="sans-serif" w:hAnsi="sans-serif" w:eastAsia="sans-serif" w:cs="sans-serif"/>
          <w:i w:val="0"/>
          <w:iCs w:val="0"/>
          <w:caps w:val="0"/>
          <w:color w:val="000000"/>
          <w:spacing w:val="0"/>
          <w:sz w:val="27"/>
          <w:szCs w:val="27"/>
        </w:rPr>
      </w:pPr>
      <w:r>
        <w:rPr>
          <w:rFonts w:ascii="黑体" w:hAnsi="宋体" w:eastAsia="黑体" w:cs="黑体"/>
          <w:i w:val="0"/>
          <w:iCs w:val="0"/>
          <w:caps w:val="0"/>
          <w:color w:val="000000"/>
          <w:spacing w:val="0"/>
          <w:sz w:val="30"/>
          <w:szCs w:val="30"/>
        </w:rPr>
        <w:t>一、总体情况</w:t>
      </w:r>
    </w:p>
    <w:p w14:paraId="74D16F7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1" w:beforeAutospacing="0" w:after="0" w:afterAutospacing="0" w:line="560" w:lineRule="exact"/>
        <w:ind w:left="0" w:firstLine="0"/>
        <w:jc w:val="left"/>
        <w:textAlignment w:val="auto"/>
      </w:pPr>
      <w:r>
        <w:rPr>
          <w:rFonts w:hint="default" w:ascii="sans-serif" w:hAnsi="sans-serif" w:eastAsia="sans-serif" w:cs="sans-serif"/>
          <w:i w:val="0"/>
          <w:iCs w:val="0"/>
          <w:caps w:val="0"/>
          <w:color w:val="000000"/>
          <w:spacing w:val="0"/>
          <w:sz w:val="27"/>
          <w:szCs w:val="27"/>
          <w:shd w:val="clear" w:fill="FFFFFF"/>
        </w:rPr>
        <w:t>     </w:t>
      </w:r>
      <w:r>
        <w:rPr>
          <w:rFonts w:hint="eastAsia" w:ascii="仿宋_GB2312" w:hAnsi="Calibri" w:eastAsia="仿宋_GB2312" w:cs="仿宋_GB2312"/>
          <w:i w:val="0"/>
          <w:iCs w:val="0"/>
          <w:caps w:val="0"/>
          <w:color w:val="000000"/>
          <w:spacing w:val="0"/>
          <w:sz w:val="32"/>
          <w:szCs w:val="32"/>
          <w:shd w:val="clear" w:fill="FFFFFF"/>
        </w:rPr>
        <w:t>202</w:t>
      </w:r>
      <w:r>
        <w:rPr>
          <w:rFonts w:hint="eastAsia" w:ascii="仿宋_GB2312" w:hAnsi="Calibri" w:eastAsia="仿宋_GB2312" w:cs="仿宋_GB2312"/>
          <w:i w:val="0"/>
          <w:iCs w:val="0"/>
          <w:caps w:val="0"/>
          <w:color w:val="000000"/>
          <w:spacing w:val="0"/>
          <w:sz w:val="32"/>
          <w:szCs w:val="32"/>
          <w:shd w:val="clear" w:fill="FFFFFF"/>
          <w:lang w:val="en-US" w:eastAsia="zh-CN"/>
        </w:rPr>
        <w:t>4</w:t>
      </w:r>
      <w:r>
        <w:rPr>
          <w:rFonts w:hint="eastAsia" w:ascii="仿宋_GB2312" w:hAnsi="sans-serif" w:eastAsia="仿宋_GB2312" w:cs="仿宋_GB2312"/>
          <w:i w:val="0"/>
          <w:iCs w:val="0"/>
          <w:caps w:val="0"/>
          <w:color w:val="000000"/>
          <w:spacing w:val="0"/>
          <w:sz w:val="32"/>
          <w:szCs w:val="32"/>
          <w:shd w:val="clear" w:fill="FFFFFF"/>
        </w:rPr>
        <w:t>年，湿地管委会按照市委、市政府的统一部署，认真贯彻落实《中华人民共和国政府信息公开条例》和</w:t>
      </w:r>
      <w:r>
        <w:rPr>
          <w:rFonts w:ascii="仿宋_GB2312" w:hAnsi="sans-serif" w:eastAsia="仿宋_GB2312" w:cs="仿宋_GB2312"/>
          <w:i w:val="0"/>
          <w:iCs w:val="0"/>
          <w:caps w:val="0"/>
          <w:color w:val="000000"/>
          <w:spacing w:val="0"/>
          <w:sz w:val="32"/>
          <w:szCs w:val="32"/>
        </w:rPr>
        <w:t>《国务院办公厅政府信息与政务公开办公室关于政府信息公开工作年度报告有关事项的通知》（国办公开办函〔</w:t>
      </w:r>
      <w:r>
        <w:rPr>
          <w:rFonts w:hint="eastAsia" w:ascii="仿宋_GB2312" w:hAnsi="Calibri" w:eastAsia="仿宋_GB2312" w:cs="仿宋_GB2312"/>
          <w:i w:val="0"/>
          <w:iCs w:val="0"/>
          <w:caps w:val="0"/>
          <w:color w:val="000000"/>
          <w:spacing w:val="0"/>
          <w:sz w:val="32"/>
          <w:szCs w:val="32"/>
        </w:rPr>
        <w:t>2020</w:t>
      </w:r>
      <w:r>
        <w:rPr>
          <w:rFonts w:hint="eastAsia" w:ascii="仿宋_GB2312" w:hAnsi="sans-serif" w:eastAsia="仿宋_GB2312" w:cs="仿宋_GB2312"/>
          <w:i w:val="0"/>
          <w:iCs w:val="0"/>
          <w:caps w:val="0"/>
          <w:color w:val="000000"/>
          <w:spacing w:val="0"/>
          <w:sz w:val="32"/>
          <w:szCs w:val="32"/>
        </w:rPr>
        <w:t>〕</w:t>
      </w:r>
      <w:r>
        <w:rPr>
          <w:rFonts w:hint="eastAsia" w:ascii="仿宋_GB2312" w:hAnsi="Calibri" w:eastAsia="仿宋_GB2312" w:cs="仿宋_GB2312"/>
          <w:i w:val="0"/>
          <w:iCs w:val="0"/>
          <w:caps w:val="0"/>
          <w:color w:val="000000"/>
          <w:spacing w:val="0"/>
          <w:sz w:val="32"/>
          <w:szCs w:val="32"/>
        </w:rPr>
        <w:t>60</w:t>
      </w:r>
      <w:r>
        <w:rPr>
          <w:rFonts w:hint="eastAsia" w:ascii="仿宋_GB2312" w:hAnsi="sans-serif" w:eastAsia="仿宋_GB2312" w:cs="仿宋_GB2312"/>
          <w:i w:val="0"/>
          <w:iCs w:val="0"/>
          <w:caps w:val="0"/>
          <w:color w:val="000000"/>
          <w:spacing w:val="0"/>
          <w:sz w:val="32"/>
          <w:szCs w:val="32"/>
        </w:rPr>
        <w:t>号）以及</w:t>
      </w:r>
      <w:r>
        <w:rPr>
          <w:rFonts w:hint="eastAsia" w:ascii="仿宋_GB2312" w:hAnsi="sans-serif" w:eastAsia="仿宋_GB2312" w:cs="仿宋_GB2312"/>
          <w:i w:val="0"/>
          <w:iCs w:val="0"/>
          <w:caps w:val="0"/>
          <w:color w:val="000000"/>
          <w:spacing w:val="0"/>
          <w:sz w:val="32"/>
          <w:szCs w:val="32"/>
          <w:shd w:val="clear" w:fill="FFFFFF"/>
        </w:rPr>
        <w:t>省、市关于政府信息公开工作的要求，紧扣本单位的工作实际，加强门户网站、政务新媒体信息公开力度，优化政务服务机制，提高工作效率，不断提升政府信息公开工作力度和实效，政府信息公开工作扎实有序。</w:t>
      </w:r>
    </w:p>
    <w:p w14:paraId="062B2FD2">
      <w:pPr>
        <w:pStyle w:val="4"/>
        <w:keepNext w:val="0"/>
        <w:keepLines w:val="0"/>
        <w:pageBreakBefore w:val="0"/>
        <w:widowControl/>
        <w:suppressLineNumbers w:val="0"/>
        <w:kinsoku/>
        <w:wordWrap/>
        <w:overflowPunct/>
        <w:topLinePunct w:val="0"/>
        <w:autoSpaceDE/>
        <w:autoSpaceDN/>
        <w:bidi w:val="0"/>
        <w:adjustRightInd/>
        <w:snapToGrid/>
        <w:spacing w:before="101" w:beforeAutospacing="0" w:after="0" w:afterAutospacing="0" w:line="560" w:lineRule="exact"/>
        <w:ind w:left="0" w:firstLine="619"/>
        <w:jc w:val="left"/>
        <w:textAlignment w:val="auto"/>
        <w:rPr>
          <w:rFonts w:hint="default" w:ascii="仿宋_GB2312" w:hAnsi="sans-serif" w:eastAsia="仿宋_GB2312" w:cs="仿宋_GB2312"/>
          <w:i w:val="0"/>
          <w:iCs w:val="0"/>
          <w:caps w:val="0"/>
          <w:color w:val="000000"/>
          <w:spacing w:val="0"/>
          <w:sz w:val="32"/>
          <w:szCs w:val="32"/>
        </w:rPr>
      </w:pPr>
      <w:r>
        <w:rPr>
          <w:rFonts w:hint="eastAsia" w:ascii="楷体" w:hAnsi="楷体" w:eastAsia="楷体" w:cs="楷体"/>
          <w:i w:val="0"/>
          <w:iCs w:val="0"/>
          <w:caps w:val="0"/>
          <w:color w:val="000000"/>
          <w:spacing w:val="0"/>
          <w:sz w:val="32"/>
          <w:szCs w:val="32"/>
          <w:shd w:val="clear" w:fill="FFFFFF"/>
          <w:lang w:val="en-US" w:eastAsia="zh-CN"/>
        </w:rPr>
        <w:t>1.</w:t>
      </w:r>
      <w:r>
        <w:rPr>
          <w:rFonts w:hint="eastAsia" w:ascii="楷体" w:hAnsi="楷体" w:eastAsia="楷体" w:cs="楷体"/>
          <w:i w:val="0"/>
          <w:iCs w:val="0"/>
          <w:caps w:val="0"/>
          <w:color w:val="000000"/>
          <w:spacing w:val="0"/>
          <w:sz w:val="32"/>
          <w:szCs w:val="32"/>
          <w:shd w:val="clear" w:fill="FFFFFF"/>
        </w:rPr>
        <w:t>主动公开</w:t>
      </w:r>
      <w:r>
        <w:rPr>
          <w:rFonts w:hint="eastAsia" w:ascii="楷体" w:hAnsi="楷体" w:eastAsia="楷体" w:cs="楷体"/>
          <w:i w:val="0"/>
          <w:iCs w:val="0"/>
          <w:caps w:val="0"/>
          <w:color w:val="000000"/>
          <w:spacing w:val="0"/>
          <w:sz w:val="32"/>
          <w:szCs w:val="32"/>
          <w:shd w:val="clear" w:fill="FFFFFF"/>
          <w:lang w:val="en-US" w:eastAsia="zh-CN"/>
        </w:rPr>
        <w:t>方面</w:t>
      </w:r>
      <w:r>
        <w:rPr>
          <w:rFonts w:hint="eastAsia" w:ascii="楷体" w:hAnsi="楷体" w:eastAsia="楷体" w:cs="楷体"/>
          <w:i w:val="0"/>
          <w:iCs w:val="0"/>
          <w:caps w:val="0"/>
          <w:color w:val="000000"/>
          <w:spacing w:val="0"/>
          <w:sz w:val="32"/>
          <w:szCs w:val="32"/>
          <w:shd w:val="clear" w:fill="FFFFFF"/>
        </w:rPr>
        <w:t>。</w:t>
      </w:r>
      <w:r>
        <w:rPr>
          <w:rFonts w:hint="eastAsia" w:ascii="仿宋_GB2312" w:hAnsi="sans-serif" w:eastAsia="仿宋_GB2312" w:cs="仿宋_GB2312"/>
          <w:i w:val="0"/>
          <w:iCs w:val="0"/>
          <w:caps w:val="0"/>
          <w:color w:val="000000"/>
          <w:spacing w:val="0"/>
          <w:sz w:val="32"/>
          <w:szCs w:val="32"/>
          <w:shd w:val="clear" w:fill="FFFFFF"/>
        </w:rPr>
        <w:t>湿地管委会通过</w:t>
      </w:r>
      <w:r>
        <w:rPr>
          <w:rFonts w:hint="eastAsia" w:ascii="仿宋_GB2312" w:hAnsi="sans-serif" w:eastAsia="仿宋_GB2312" w:cs="仿宋_GB2312"/>
          <w:i w:val="0"/>
          <w:iCs w:val="0"/>
          <w:caps w:val="0"/>
          <w:color w:val="000000"/>
          <w:spacing w:val="0"/>
          <w:sz w:val="32"/>
          <w:szCs w:val="32"/>
          <w:shd w:val="clear" w:fill="FFFFFF"/>
          <w:lang w:val="en-US" w:eastAsia="zh-CN"/>
        </w:rPr>
        <w:t>滕州市政府官网、</w:t>
      </w:r>
      <w:r>
        <w:rPr>
          <w:rFonts w:hint="eastAsia" w:ascii="仿宋_GB2312" w:hAnsi="sans-serif" w:eastAsia="仿宋_GB2312" w:cs="仿宋_GB2312"/>
          <w:i w:val="0"/>
          <w:iCs w:val="0"/>
          <w:caps w:val="0"/>
          <w:color w:val="000000"/>
          <w:spacing w:val="0"/>
          <w:sz w:val="32"/>
          <w:szCs w:val="32"/>
          <w:shd w:val="clear" w:fill="FFFFFF"/>
        </w:rPr>
        <w:t>“滕州微山湖红荷湿地</w:t>
      </w:r>
      <w:r>
        <w:rPr>
          <w:rFonts w:hint="eastAsia" w:ascii="仿宋_GB2312" w:hAnsi="sans-serif" w:eastAsia="仿宋_GB2312" w:cs="仿宋_GB2312"/>
          <w:i w:val="0"/>
          <w:iCs w:val="0"/>
          <w:caps w:val="0"/>
          <w:color w:val="000000"/>
          <w:spacing w:val="0"/>
          <w:sz w:val="32"/>
          <w:szCs w:val="32"/>
          <w:shd w:val="clear" w:fill="FFFFFF"/>
          <w:lang w:val="en-US" w:eastAsia="zh-CN"/>
        </w:rPr>
        <w:t>旅游度假区</w:t>
      </w:r>
      <w:r>
        <w:rPr>
          <w:rFonts w:hint="eastAsia" w:ascii="仿宋_GB2312" w:hAnsi="sans-serif" w:eastAsia="仿宋_GB2312" w:cs="仿宋_GB2312"/>
          <w:i w:val="0"/>
          <w:iCs w:val="0"/>
          <w:caps w:val="0"/>
          <w:color w:val="000000"/>
          <w:spacing w:val="0"/>
          <w:sz w:val="32"/>
          <w:szCs w:val="32"/>
          <w:shd w:val="clear" w:fill="FFFFFF"/>
        </w:rPr>
        <w:t>官方网站”和滕州微山湖红荷湿地微信公众号等多种渠道公开信息，确保了信息公开及时、准确。</w:t>
      </w:r>
      <w:r>
        <w:rPr>
          <w:rFonts w:hint="eastAsia" w:ascii="仿宋_GB2312" w:hAnsi="sans-serif" w:eastAsia="仿宋_GB2312" w:cs="仿宋_GB2312"/>
          <w:i w:val="0"/>
          <w:iCs w:val="0"/>
          <w:caps w:val="0"/>
          <w:color w:val="000000"/>
          <w:spacing w:val="0"/>
          <w:sz w:val="32"/>
          <w:szCs w:val="32"/>
        </w:rPr>
        <w:t>根据《中华人民共和国政府信息公开条例》第二十条第（二）款要求，及时更新机关职能、机构设置、办公地址、办公时间、联系方式等，并在市政府信息公开专栏和景区官方网站公布。 </w:t>
      </w:r>
    </w:p>
    <w:p w14:paraId="73A6C210">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101" w:beforeAutospacing="0" w:after="274" w:afterAutospacing="0" w:line="560" w:lineRule="exact"/>
        <w:ind w:leftChars="200" w:right="0" w:rightChars="0" w:firstLine="640" w:firstLineChars="200"/>
        <w:jc w:val="left"/>
        <w:textAlignment w:val="auto"/>
        <w:rPr>
          <w:rFonts w:hint="eastAsia" w:ascii="仿宋_GB2312" w:hAnsi="sans-serif" w:eastAsia="仿宋_GB2312" w:cs="仿宋_GB2312"/>
          <w:i w:val="0"/>
          <w:iCs w:val="0"/>
          <w:caps w:val="0"/>
          <w:color w:val="000000"/>
          <w:spacing w:val="0"/>
          <w:sz w:val="32"/>
          <w:szCs w:val="32"/>
          <w:highlight w:val="none"/>
          <w:shd w:val="clear" w:fill="FFFFFF"/>
        </w:rPr>
      </w:pPr>
      <w:r>
        <w:rPr>
          <w:rFonts w:hint="eastAsia" w:ascii="仿宋_GB2312" w:hAnsi="Calibri" w:eastAsia="仿宋_GB2312" w:cs="仿宋_GB2312"/>
          <w:i w:val="0"/>
          <w:iCs w:val="0"/>
          <w:caps w:val="0"/>
          <w:color w:val="000000"/>
          <w:spacing w:val="0"/>
          <w:sz w:val="32"/>
          <w:szCs w:val="32"/>
          <w:highlight w:val="none"/>
          <w:shd w:val="clear" w:fill="FFFFFF"/>
        </w:rPr>
        <w:t>202</w:t>
      </w:r>
      <w:r>
        <w:rPr>
          <w:rFonts w:hint="eastAsia" w:ascii="仿宋_GB2312" w:hAnsi="Calibri" w:eastAsia="仿宋_GB2312" w:cs="仿宋_GB2312"/>
          <w:i w:val="0"/>
          <w:iCs w:val="0"/>
          <w:caps w:val="0"/>
          <w:color w:val="000000"/>
          <w:spacing w:val="0"/>
          <w:sz w:val="32"/>
          <w:szCs w:val="32"/>
          <w:highlight w:val="none"/>
          <w:shd w:val="clear" w:fill="FFFFFF"/>
          <w:lang w:val="en-US" w:eastAsia="zh-CN"/>
        </w:rPr>
        <w:t>4</w:t>
      </w:r>
      <w:r>
        <w:rPr>
          <w:rFonts w:hint="eastAsia" w:ascii="仿宋_GB2312" w:hAnsi="sans-serif" w:eastAsia="仿宋_GB2312" w:cs="仿宋_GB2312"/>
          <w:i w:val="0"/>
          <w:iCs w:val="0"/>
          <w:caps w:val="0"/>
          <w:color w:val="000000"/>
          <w:spacing w:val="0"/>
          <w:sz w:val="32"/>
          <w:szCs w:val="32"/>
          <w:highlight w:val="none"/>
          <w:shd w:val="clear" w:fill="FFFFFF"/>
        </w:rPr>
        <w:t>年全年通过微信公众号推送信息</w:t>
      </w:r>
      <w:r>
        <w:rPr>
          <w:rFonts w:hint="eastAsia" w:ascii="仿宋_GB2312" w:hAnsi="Calibri" w:eastAsia="仿宋_GB2312" w:cs="仿宋_GB2312"/>
          <w:i w:val="0"/>
          <w:iCs w:val="0"/>
          <w:caps w:val="0"/>
          <w:color w:val="000000"/>
          <w:spacing w:val="0"/>
          <w:sz w:val="32"/>
          <w:szCs w:val="32"/>
          <w:highlight w:val="none"/>
          <w:shd w:val="clear" w:fill="FFFFFF"/>
          <w:lang w:val="en-US" w:eastAsia="zh-CN"/>
        </w:rPr>
        <w:t>151</w:t>
      </w:r>
      <w:r>
        <w:rPr>
          <w:rFonts w:hint="eastAsia" w:ascii="仿宋_GB2312" w:hAnsi="sans-serif" w:eastAsia="仿宋_GB2312" w:cs="仿宋_GB2312"/>
          <w:i w:val="0"/>
          <w:iCs w:val="0"/>
          <w:caps w:val="0"/>
          <w:color w:val="000000"/>
          <w:spacing w:val="0"/>
          <w:sz w:val="32"/>
          <w:szCs w:val="32"/>
          <w:highlight w:val="none"/>
          <w:shd w:val="clear" w:fill="FFFFFF"/>
        </w:rPr>
        <w:t>条，通过景区官网发布信息</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132</w:t>
      </w:r>
      <w:r>
        <w:rPr>
          <w:rFonts w:hint="eastAsia" w:ascii="仿宋_GB2312" w:hAnsi="sans-serif" w:eastAsia="仿宋_GB2312" w:cs="仿宋_GB2312"/>
          <w:i w:val="0"/>
          <w:iCs w:val="0"/>
          <w:caps w:val="0"/>
          <w:color w:val="000000"/>
          <w:spacing w:val="0"/>
          <w:sz w:val="32"/>
          <w:szCs w:val="32"/>
          <w:highlight w:val="none"/>
          <w:shd w:val="clear" w:fill="FFFFFF"/>
        </w:rPr>
        <w:t>条，其中，工作动态</w:t>
      </w:r>
      <w:r>
        <w:rPr>
          <w:rFonts w:hint="eastAsia" w:ascii="仿宋_GB2312" w:hAnsi="Calibri" w:eastAsia="仿宋_GB2312" w:cs="仿宋_GB2312"/>
          <w:i w:val="0"/>
          <w:iCs w:val="0"/>
          <w:caps w:val="0"/>
          <w:color w:val="000000"/>
          <w:spacing w:val="0"/>
          <w:sz w:val="32"/>
          <w:szCs w:val="32"/>
          <w:highlight w:val="none"/>
          <w:shd w:val="clear" w:fill="FFFFFF"/>
          <w:lang w:val="en-US" w:eastAsia="zh-CN"/>
        </w:rPr>
        <w:t>45</w:t>
      </w:r>
      <w:r>
        <w:rPr>
          <w:rFonts w:hint="eastAsia" w:ascii="仿宋_GB2312" w:hAnsi="sans-serif" w:eastAsia="仿宋_GB2312" w:cs="仿宋_GB2312"/>
          <w:i w:val="0"/>
          <w:iCs w:val="0"/>
          <w:caps w:val="0"/>
          <w:color w:val="000000"/>
          <w:spacing w:val="0"/>
          <w:sz w:val="32"/>
          <w:szCs w:val="32"/>
          <w:highlight w:val="none"/>
          <w:shd w:val="clear" w:fill="FFFFFF"/>
        </w:rPr>
        <w:t>条，旅游资讯</w:t>
      </w:r>
      <w:r>
        <w:rPr>
          <w:rFonts w:hint="eastAsia" w:ascii="仿宋_GB2312" w:hAnsi="Calibri" w:eastAsia="仿宋_GB2312" w:cs="仿宋_GB2312"/>
          <w:i w:val="0"/>
          <w:iCs w:val="0"/>
          <w:caps w:val="0"/>
          <w:color w:val="000000"/>
          <w:spacing w:val="0"/>
          <w:sz w:val="32"/>
          <w:szCs w:val="32"/>
          <w:highlight w:val="none"/>
          <w:shd w:val="clear" w:fill="FFFFFF"/>
          <w:lang w:val="en-US" w:eastAsia="zh-CN"/>
        </w:rPr>
        <w:t>81</w:t>
      </w:r>
      <w:r>
        <w:rPr>
          <w:rFonts w:hint="eastAsia" w:ascii="仿宋_GB2312" w:hAnsi="sans-serif" w:eastAsia="仿宋_GB2312" w:cs="仿宋_GB2312"/>
          <w:i w:val="0"/>
          <w:iCs w:val="0"/>
          <w:caps w:val="0"/>
          <w:color w:val="000000"/>
          <w:spacing w:val="0"/>
          <w:sz w:val="32"/>
          <w:szCs w:val="32"/>
          <w:highlight w:val="none"/>
          <w:shd w:val="clear" w:fill="FFFFFF"/>
        </w:rPr>
        <w:t>条。通过信息公开网站主动公开政府信息数</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24</w:t>
      </w:r>
      <w:r>
        <w:rPr>
          <w:rFonts w:hint="eastAsia" w:ascii="仿宋_GB2312" w:hAnsi="sans-serif" w:eastAsia="仿宋_GB2312" w:cs="仿宋_GB2312"/>
          <w:i w:val="0"/>
          <w:iCs w:val="0"/>
          <w:caps w:val="0"/>
          <w:color w:val="000000"/>
          <w:spacing w:val="0"/>
          <w:sz w:val="32"/>
          <w:szCs w:val="32"/>
          <w:highlight w:val="none"/>
          <w:shd w:val="clear" w:fill="FFFFFF"/>
        </w:rPr>
        <w:t>条，其中，通知公告</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4</w:t>
      </w:r>
      <w:r>
        <w:rPr>
          <w:rFonts w:hint="eastAsia" w:ascii="仿宋_GB2312" w:hAnsi="sans-serif" w:eastAsia="仿宋_GB2312" w:cs="仿宋_GB2312"/>
          <w:i w:val="0"/>
          <w:iCs w:val="0"/>
          <w:caps w:val="0"/>
          <w:color w:val="000000"/>
          <w:spacing w:val="0"/>
          <w:sz w:val="32"/>
          <w:szCs w:val="32"/>
          <w:highlight w:val="none"/>
          <w:shd w:val="clear" w:fill="FFFFFF"/>
        </w:rPr>
        <w:t>条，规划计划</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1</w:t>
      </w:r>
      <w:r>
        <w:rPr>
          <w:rFonts w:hint="eastAsia" w:ascii="仿宋_GB2312" w:hAnsi="sans-serif" w:eastAsia="仿宋_GB2312" w:cs="仿宋_GB2312"/>
          <w:i w:val="0"/>
          <w:iCs w:val="0"/>
          <w:caps w:val="0"/>
          <w:color w:val="000000"/>
          <w:spacing w:val="0"/>
          <w:sz w:val="32"/>
          <w:szCs w:val="32"/>
          <w:highlight w:val="none"/>
          <w:shd w:val="clear" w:fill="FFFFFF"/>
        </w:rPr>
        <w:t>条，组织管理</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8</w:t>
      </w:r>
      <w:r>
        <w:rPr>
          <w:rFonts w:hint="eastAsia" w:ascii="仿宋_GB2312" w:hAnsi="sans-serif" w:eastAsia="仿宋_GB2312" w:cs="仿宋_GB2312"/>
          <w:i w:val="0"/>
          <w:iCs w:val="0"/>
          <w:caps w:val="0"/>
          <w:color w:val="000000"/>
          <w:spacing w:val="0"/>
          <w:sz w:val="32"/>
          <w:szCs w:val="32"/>
          <w:highlight w:val="none"/>
          <w:shd w:val="clear" w:fill="FFFFFF"/>
        </w:rPr>
        <w:t>条，财政信息</w:t>
      </w:r>
      <w:r>
        <w:rPr>
          <w:rFonts w:hint="eastAsia" w:ascii="仿宋_GB2312" w:hAnsi="Calibri" w:eastAsia="仿宋_GB2312" w:cs="仿宋_GB2312"/>
          <w:i w:val="0"/>
          <w:iCs w:val="0"/>
          <w:caps w:val="0"/>
          <w:color w:val="000000"/>
          <w:spacing w:val="0"/>
          <w:sz w:val="32"/>
          <w:szCs w:val="32"/>
          <w:highlight w:val="none"/>
          <w:shd w:val="clear" w:fill="FFFFFF"/>
          <w:lang w:val="en-US" w:eastAsia="zh-CN"/>
        </w:rPr>
        <w:t>2</w:t>
      </w:r>
      <w:r>
        <w:rPr>
          <w:rFonts w:hint="eastAsia" w:ascii="仿宋_GB2312" w:hAnsi="sans-serif" w:eastAsia="仿宋_GB2312" w:cs="仿宋_GB2312"/>
          <w:i w:val="0"/>
          <w:iCs w:val="0"/>
          <w:caps w:val="0"/>
          <w:color w:val="000000"/>
          <w:spacing w:val="0"/>
          <w:sz w:val="32"/>
          <w:szCs w:val="32"/>
          <w:highlight w:val="none"/>
          <w:shd w:val="clear" w:fill="FFFFFF"/>
        </w:rPr>
        <w:t>条，建议提案</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2</w:t>
      </w:r>
      <w:r>
        <w:rPr>
          <w:rFonts w:hint="eastAsia" w:ascii="仿宋_GB2312" w:hAnsi="sans-serif" w:eastAsia="仿宋_GB2312" w:cs="仿宋_GB2312"/>
          <w:i w:val="0"/>
          <w:iCs w:val="0"/>
          <w:caps w:val="0"/>
          <w:color w:val="000000"/>
          <w:spacing w:val="0"/>
          <w:sz w:val="32"/>
          <w:szCs w:val="32"/>
          <w:highlight w:val="none"/>
          <w:shd w:val="clear" w:fill="FFFFFF"/>
        </w:rPr>
        <w:t>条</w:t>
      </w:r>
      <w:r>
        <w:rPr>
          <w:rFonts w:hint="eastAsia" w:ascii="仿宋_GB2312" w:hAnsi="sans-serif" w:eastAsia="仿宋_GB2312" w:cs="仿宋_GB2312"/>
          <w:i w:val="0"/>
          <w:iCs w:val="0"/>
          <w:caps w:val="0"/>
          <w:color w:val="000000"/>
          <w:spacing w:val="0"/>
          <w:sz w:val="32"/>
          <w:szCs w:val="32"/>
          <w:highlight w:val="none"/>
          <w:shd w:val="clear" w:fill="FFFFFF"/>
          <w:lang w:eastAsia="zh-CN"/>
        </w:rPr>
        <w:t>，</w:t>
      </w:r>
      <w:r>
        <w:rPr>
          <w:rFonts w:hint="eastAsia" w:ascii="仿宋_GB2312" w:hAnsi="sans-serif" w:eastAsia="仿宋_GB2312" w:cs="仿宋_GB2312"/>
          <w:i w:val="0"/>
          <w:iCs w:val="0"/>
          <w:caps w:val="0"/>
          <w:color w:val="000000"/>
          <w:spacing w:val="0"/>
          <w:sz w:val="32"/>
          <w:szCs w:val="32"/>
          <w:highlight w:val="none"/>
          <w:shd w:val="clear" w:fill="FFFFFF"/>
          <w:lang w:val="en-US" w:eastAsia="zh-CN"/>
        </w:rPr>
        <w:t>重大民生信息4条</w:t>
      </w:r>
      <w:r>
        <w:rPr>
          <w:rFonts w:hint="eastAsia" w:ascii="仿宋_GB2312" w:hAnsi="sans-serif" w:eastAsia="仿宋_GB2312" w:cs="仿宋_GB2312"/>
          <w:i w:val="0"/>
          <w:iCs w:val="0"/>
          <w:caps w:val="0"/>
          <w:color w:val="000000"/>
          <w:spacing w:val="0"/>
          <w:sz w:val="32"/>
          <w:szCs w:val="32"/>
          <w:highlight w:val="none"/>
          <w:shd w:val="clear" w:fill="FFFFFF"/>
        </w:rPr>
        <w:t>。</w:t>
      </w:r>
    </w:p>
    <w:p w14:paraId="2456D103">
      <w:pPr>
        <w:pStyle w:val="4"/>
        <w:keepNext w:val="0"/>
        <w:keepLines w:val="0"/>
        <w:widowControl/>
        <w:numPr>
          <w:ilvl w:val="0"/>
          <w:numId w:val="0"/>
        </w:numPr>
        <w:suppressLineNumbers w:val="0"/>
        <w:shd w:val="clear" w:fill="FFFFFF"/>
        <w:spacing w:before="101" w:beforeAutospacing="0" w:after="274" w:afterAutospacing="0" w:line="562" w:lineRule="atLeast"/>
        <w:ind w:leftChars="200" w:right="0" w:rightChars="0"/>
        <w:jc w:val="left"/>
      </w:pPr>
      <w:r>
        <w:rPr>
          <w:rFonts w:hint="eastAsia" w:eastAsiaTheme="minorEastAsia"/>
          <w:lang w:eastAsia="zh-CN"/>
        </w:rPr>
        <w:drawing>
          <wp:inline distT="0" distB="0" distL="114300" distR="114300">
            <wp:extent cx="5256530" cy="2988310"/>
            <wp:effectExtent l="5080" t="4445" r="1524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3DE4F61">
      <w:pPr>
        <w:pStyle w:val="4"/>
        <w:keepNext w:val="0"/>
        <w:keepLines w:val="0"/>
        <w:widowControl/>
        <w:numPr>
          <w:ilvl w:val="0"/>
          <w:numId w:val="0"/>
        </w:numPr>
        <w:suppressLineNumbers w:val="0"/>
        <w:shd w:val="clear" w:fill="FFFFFF"/>
        <w:spacing w:before="101" w:beforeAutospacing="0" w:after="274" w:afterAutospacing="0" w:line="562" w:lineRule="atLeast"/>
        <w:ind w:leftChars="200" w:right="0" w:rightChars="0"/>
        <w:jc w:val="left"/>
        <w:rPr>
          <w:rFonts w:hint="eastAsia" w:ascii="仿宋_GB2312" w:hAnsi="sans-serif" w:eastAsia="仿宋_GB2312" w:cs="仿宋_GB2312"/>
          <w:i w:val="0"/>
          <w:iCs w:val="0"/>
          <w:caps w:val="0"/>
          <w:color w:val="000000"/>
          <w:spacing w:val="0"/>
          <w:sz w:val="32"/>
          <w:szCs w:val="32"/>
          <w:highlight w:val="none"/>
          <w:shd w:val="clear" w:fill="FFFFFF"/>
          <w:lang w:eastAsia="zh-CN"/>
        </w:rPr>
      </w:pPr>
      <w:r>
        <w:drawing>
          <wp:inline distT="0" distB="0" distL="114300" distR="114300">
            <wp:extent cx="5265420" cy="2795270"/>
            <wp:effectExtent l="0" t="0" r="11430"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5265420" cy="2795270"/>
                    </a:xfrm>
                    <a:prstGeom prst="rect">
                      <a:avLst/>
                    </a:prstGeom>
                    <a:noFill/>
                    <a:ln>
                      <a:noFill/>
                    </a:ln>
                  </pic:spPr>
                </pic:pic>
              </a:graphicData>
            </a:graphic>
          </wp:inline>
        </w:drawing>
      </w:r>
    </w:p>
    <w:p w14:paraId="141C929E">
      <w:pPr>
        <w:pStyle w:val="4"/>
        <w:keepNext w:val="0"/>
        <w:keepLines w:val="0"/>
        <w:widowControl/>
        <w:suppressLineNumbers w:val="0"/>
        <w:shd w:val="clear" w:fill="FFFFFF"/>
        <w:spacing w:before="101" w:beforeAutospacing="0" w:after="0" w:afterAutospacing="0" w:line="562" w:lineRule="atLeast"/>
        <w:ind w:left="0" w:firstLine="0"/>
        <w:jc w:val="both"/>
        <w:rPr>
          <w:rFonts w:hint="eastAsia" w:ascii="仿宋_GB2312" w:hAnsi="sans-serif" w:eastAsia="仿宋_GB2312" w:cs="仿宋_GB2312"/>
          <w:i w:val="0"/>
          <w:iCs w:val="0"/>
          <w:caps w:val="0"/>
          <w:color w:val="000000"/>
          <w:spacing w:val="0"/>
          <w:sz w:val="32"/>
          <w:szCs w:val="32"/>
          <w:shd w:val="clear" w:fill="FFFFFF"/>
          <w:lang w:eastAsia="zh-CN"/>
        </w:rPr>
      </w:pPr>
      <w:r>
        <w:drawing>
          <wp:inline distT="0" distB="0" distL="114300" distR="114300">
            <wp:extent cx="5269865" cy="2703830"/>
            <wp:effectExtent l="0" t="0" r="6985" b="127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5269865" cy="2703830"/>
                    </a:xfrm>
                    <a:prstGeom prst="rect">
                      <a:avLst/>
                    </a:prstGeom>
                    <a:noFill/>
                    <a:ln>
                      <a:noFill/>
                    </a:ln>
                  </pic:spPr>
                </pic:pic>
              </a:graphicData>
            </a:graphic>
          </wp:inline>
        </w:drawing>
      </w:r>
    </w:p>
    <w:p w14:paraId="2BF4112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274" w:beforeAutospacing="0" w:after="0" w:afterAutospacing="0" w:line="540" w:lineRule="exact"/>
        <w:ind w:right="0" w:rightChars="0" w:firstLine="640" w:firstLineChars="200"/>
        <w:jc w:val="left"/>
        <w:textAlignment w:val="auto"/>
        <w:rPr>
          <w:rFonts w:hint="default" w:ascii="仿宋_GB2312" w:hAnsi="仿宋_GB2312" w:eastAsia="仿宋_GB2312" w:cs="仿宋_GB2312"/>
          <w:i w:val="0"/>
          <w:iCs w:val="0"/>
          <w:caps w:val="0"/>
          <w:color w:val="FF0000"/>
          <w:spacing w:val="0"/>
          <w:sz w:val="32"/>
          <w:szCs w:val="32"/>
          <w:highlight w:val="yellow"/>
          <w:lang w:val="en-US" w:eastAsia="zh-CN"/>
        </w:rPr>
      </w:pPr>
      <w:r>
        <w:rPr>
          <w:rFonts w:hint="eastAsia" w:ascii="楷体" w:hAnsi="楷体" w:eastAsia="楷体" w:cs="楷体"/>
          <w:i w:val="0"/>
          <w:iCs w:val="0"/>
          <w:caps w:val="0"/>
          <w:color w:val="000000"/>
          <w:spacing w:val="0"/>
          <w:sz w:val="32"/>
          <w:szCs w:val="32"/>
          <w:lang w:val="en-US" w:eastAsia="zh-CN"/>
        </w:rPr>
        <w:t>2.</w:t>
      </w:r>
      <w:r>
        <w:rPr>
          <w:rFonts w:ascii="楷体" w:hAnsi="楷体" w:eastAsia="楷体" w:cs="楷体"/>
          <w:i w:val="0"/>
          <w:iCs w:val="0"/>
          <w:caps w:val="0"/>
          <w:color w:val="000000"/>
          <w:spacing w:val="0"/>
          <w:sz w:val="32"/>
          <w:szCs w:val="32"/>
        </w:rPr>
        <w:t>政府信息依申请公开</w:t>
      </w:r>
      <w:r>
        <w:rPr>
          <w:rFonts w:hint="eastAsia" w:ascii="楷体" w:hAnsi="楷体" w:eastAsia="楷体" w:cs="楷体"/>
          <w:i w:val="0"/>
          <w:iCs w:val="0"/>
          <w:caps w:val="0"/>
          <w:color w:val="000000"/>
          <w:spacing w:val="0"/>
          <w:sz w:val="32"/>
          <w:szCs w:val="32"/>
          <w:lang w:val="en-US" w:eastAsia="zh-CN"/>
        </w:rPr>
        <w:t>方面。</w:t>
      </w:r>
      <w:r>
        <w:rPr>
          <w:rFonts w:hint="eastAsia" w:ascii="仿宋_GB2312" w:hAnsi="仿宋_GB2312" w:eastAsia="仿宋_GB2312" w:cs="仿宋_GB2312"/>
          <w:i w:val="0"/>
          <w:iCs w:val="0"/>
          <w:caps w:val="0"/>
          <w:color w:val="000000"/>
          <w:spacing w:val="0"/>
          <w:sz w:val="32"/>
          <w:szCs w:val="32"/>
        </w:rPr>
        <w:t>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年，滕州</w:t>
      </w:r>
      <w:r>
        <w:rPr>
          <w:rFonts w:hint="eastAsia" w:ascii="仿宋_GB2312" w:hAnsi="仿宋_GB2312" w:eastAsia="仿宋_GB2312" w:cs="仿宋_GB2312"/>
          <w:i w:val="0"/>
          <w:iCs w:val="0"/>
          <w:caps w:val="0"/>
          <w:color w:val="000000"/>
          <w:spacing w:val="0"/>
          <w:sz w:val="32"/>
          <w:szCs w:val="32"/>
          <w:lang w:val="en-US" w:eastAsia="zh-CN"/>
        </w:rPr>
        <w:t>微山湖</w:t>
      </w:r>
      <w:r>
        <w:rPr>
          <w:rFonts w:hint="eastAsia" w:ascii="仿宋_GB2312" w:hAnsi="仿宋_GB2312" w:eastAsia="仿宋_GB2312" w:cs="仿宋_GB2312"/>
          <w:i w:val="0"/>
          <w:iCs w:val="0"/>
          <w:caps w:val="0"/>
          <w:color w:val="000000"/>
          <w:spacing w:val="0"/>
          <w:sz w:val="32"/>
          <w:szCs w:val="32"/>
        </w:rPr>
        <w:t>湿地管委会未受理政府信息公开申请，结转上年政府信息公开申请0件。</w:t>
      </w:r>
      <w:r>
        <w:rPr>
          <w:rFonts w:hint="eastAsia" w:ascii="仿宋_GB2312" w:hAnsi="仿宋_GB2312" w:eastAsia="仿宋_GB2312" w:cs="仿宋_GB2312"/>
          <w:i w:val="0"/>
          <w:iCs w:val="0"/>
          <w:caps w:val="0"/>
          <w:color w:val="000000"/>
          <w:spacing w:val="0"/>
          <w:sz w:val="32"/>
          <w:szCs w:val="32"/>
          <w:lang w:val="en-US" w:eastAsia="zh-CN"/>
        </w:rPr>
        <w:t>未发生因政府信息公开申请引发的行政复议和行政诉讼。近三年滕州微山湖湿地管委会未收到政府信息公开申请，数量没有变化。</w:t>
      </w:r>
    </w:p>
    <w:p w14:paraId="6DE503F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274" w:beforeAutospacing="0" w:after="0" w:afterAutospacing="0" w:line="540" w:lineRule="exact"/>
        <w:ind w:right="0" w:rightChars="0" w:firstLine="640" w:firstLineChars="20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楷体_GB2312" w:hAnsi="楷体_GB2312" w:eastAsia="楷体_GB2312" w:cs="楷体_GB2312"/>
          <w:i w:val="0"/>
          <w:iCs w:val="0"/>
          <w:caps w:val="0"/>
          <w:color w:val="000000"/>
          <w:spacing w:val="0"/>
          <w:sz w:val="32"/>
          <w:szCs w:val="32"/>
          <w:lang w:val="en-US" w:eastAsia="zh-CN"/>
        </w:rPr>
        <w:t>3.</w:t>
      </w:r>
      <w:r>
        <w:rPr>
          <w:rFonts w:hint="eastAsia" w:ascii="楷体_GB2312" w:hAnsi="楷体_GB2312" w:eastAsia="楷体_GB2312" w:cs="楷体_GB2312"/>
          <w:i w:val="0"/>
          <w:iCs w:val="0"/>
          <w:caps w:val="0"/>
          <w:color w:val="000000"/>
          <w:spacing w:val="0"/>
          <w:sz w:val="32"/>
          <w:szCs w:val="32"/>
        </w:rPr>
        <w:t>政府信息管理</w:t>
      </w:r>
      <w:r>
        <w:rPr>
          <w:rFonts w:hint="eastAsia" w:ascii="楷体_GB2312" w:hAnsi="楷体_GB2312" w:eastAsia="楷体_GB2312" w:cs="楷体_GB2312"/>
          <w:i w:val="0"/>
          <w:iCs w:val="0"/>
          <w:caps w:val="0"/>
          <w:color w:val="000000"/>
          <w:spacing w:val="0"/>
          <w:sz w:val="32"/>
          <w:szCs w:val="32"/>
          <w:lang w:val="en-US" w:eastAsia="zh-CN"/>
        </w:rPr>
        <w:t>方面。</w:t>
      </w:r>
      <w:r>
        <w:rPr>
          <w:rFonts w:hint="eastAsia" w:ascii="仿宋_GB2312" w:hAnsi="仿宋_GB2312" w:eastAsia="仿宋_GB2312" w:cs="仿宋_GB2312"/>
          <w:i w:val="0"/>
          <w:iCs w:val="0"/>
          <w:caps w:val="0"/>
          <w:color w:val="000000"/>
          <w:spacing w:val="0"/>
          <w:sz w:val="32"/>
          <w:szCs w:val="32"/>
        </w:rPr>
        <w:t>全面梳理了门户网站政务公开目录，收集、整理各类政务公开信息，并确定政府门户网站上的政务公开目录，按照目录要求收集公开信息并在网上公开。同时，严格遵循“谁公开、谁审查、谁负责”原则，确保了政务信息公开工作扎实有效开展。健全完善信息公开保密审查制度，提高政府信息公开工作的规范化水平。</w:t>
      </w:r>
    </w:p>
    <w:p w14:paraId="445E6A30">
      <w:pPr>
        <w:pStyle w:val="4"/>
        <w:keepNext w:val="0"/>
        <w:keepLines w:val="0"/>
        <w:pageBreakBefore w:val="0"/>
        <w:widowControl/>
        <w:suppressLineNumbers w:val="0"/>
        <w:kinsoku/>
        <w:wordWrap/>
        <w:overflowPunct/>
        <w:topLinePunct w:val="0"/>
        <w:autoSpaceDE/>
        <w:autoSpaceDN/>
        <w:bidi w:val="0"/>
        <w:adjustRightInd/>
        <w:snapToGrid/>
        <w:spacing w:before="274" w:beforeAutospacing="0" w:after="0" w:afterAutospacing="0" w:line="540" w:lineRule="exact"/>
        <w:ind w:left="0" w:firstLine="634"/>
        <w:jc w:val="left"/>
        <w:textAlignment w:val="auto"/>
        <w:rPr>
          <w:rFonts w:hint="default" w:ascii="仿宋_GB2312" w:eastAsia="仿宋_GB2312"/>
          <w:sz w:val="32"/>
          <w:szCs w:val="32"/>
        </w:rPr>
      </w:pPr>
      <w:r>
        <w:rPr>
          <w:rFonts w:hint="eastAsia" w:ascii="楷体_GB2312" w:hAnsi="楷体_GB2312" w:eastAsia="楷体_GB2312" w:cs="楷体_GB2312"/>
          <w:i w:val="0"/>
          <w:iCs w:val="0"/>
          <w:caps w:val="0"/>
          <w:color w:val="000000"/>
          <w:spacing w:val="0"/>
          <w:sz w:val="32"/>
          <w:szCs w:val="32"/>
          <w:lang w:val="en-US" w:eastAsia="zh-CN"/>
        </w:rPr>
        <w:t>4.</w:t>
      </w:r>
      <w:r>
        <w:rPr>
          <w:rFonts w:hint="eastAsia" w:ascii="楷体_GB2312" w:hAnsi="楷体_GB2312" w:eastAsia="楷体_GB2312" w:cs="楷体_GB2312"/>
          <w:i w:val="0"/>
          <w:iCs w:val="0"/>
          <w:caps w:val="0"/>
          <w:color w:val="000000"/>
          <w:spacing w:val="0"/>
          <w:sz w:val="32"/>
          <w:szCs w:val="32"/>
        </w:rPr>
        <w:t>政府信息平台建设</w:t>
      </w:r>
      <w:r>
        <w:rPr>
          <w:rFonts w:hint="eastAsia" w:ascii="楷体_GB2312" w:hAnsi="楷体_GB2312" w:eastAsia="楷体_GB2312" w:cs="楷体_GB2312"/>
          <w:i w:val="0"/>
          <w:iCs w:val="0"/>
          <w:caps w:val="0"/>
          <w:color w:val="000000"/>
          <w:spacing w:val="0"/>
          <w:sz w:val="32"/>
          <w:szCs w:val="32"/>
          <w:lang w:val="en-US" w:eastAsia="zh-CN"/>
        </w:rPr>
        <w:t>方面</w:t>
      </w:r>
      <w:r>
        <w:rPr>
          <w:rFonts w:hint="eastAsia" w:ascii="楷体_GB2312" w:hAnsi="楷体_GB2312" w:eastAsia="楷体_GB2312" w:cs="楷体_GB2312"/>
          <w:i w:val="0"/>
          <w:iCs w:val="0"/>
          <w:caps w:val="0"/>
          <w:color w:val="000000"/>
          <w:spacing w:val="0"/>
          <w:sz w:val="32"/>
          <w:szCs w:val="32"/>
          <w:lang w:eastAsia="zh-CN"/>
        </w:rPr>
        <w:t>。</w:t>
      </w:r>
      <w:r>
        <w:rPr>
          <w:rFonts w:hint="eastAsia" w:ascii="仿宋_GB2312" w:eastAsia="仿宋_GB2312"/>
          <w:sz w:val="32"/>
          <w:szCs w:val="32"/>
        </w:rPr>
        <w:t>结合自身实际情况，</w:t>
      </w:r>
      <w:r>
        <w:rPr>
          <w:rFonts w:hint="eastAsia" w:ascii="仿宋_GB2312" w:eastAsia="仿宋_GB2312"/>
          <w:sz w:val="32"/>
          <w:szCs w:val="32"/>
          <w:lang w:val="en-US" w:eastAsia="zh-CN"/>
        </w:rPr>
        <w:t>加强网站专栏设置和内容维护，通过“滕州微山湖红荷湿地旅游度假区”公众号及时公开政府信息，</w:t>
      </w:r>
      <w:r>
        <w:rPr>
          <w:rFonts w:hint="eastAsia" w:ascii="仿宋_GB2312" w:eastAsia="仿宋_GB2312"/>
          <w:sz w:val="32"/>
          <w:szCs w:val="32"/>
        </w:rPr>
        <w:t>将信息公开的内容和</w:t>
      </w:r>
      <w:r>
        <w:rPr>
          <w:rFonts w:hint="eastAsia" w:ascii="仿宋_GB2312" w:eastAsia="仿宋_GB2312"/>
          <w:sz w:val="32"/>
          <w:szCs w:val="32"/>
          <w:lang w:val="en-US" w:eastAsia="zh-CN"/>
        </w:rPr>
        <w:t>效率</w:t>
      </w:r>
      <w:r>
        <w:rPr>
          <w:rFonts w:hint="eastAsia" w:ascii="仿宋_GB2312" w:eastAsia="仿宋_GB2312"/>
          <w:sz w:val="32"/>
          <w:szCs w:val="32"/>
        </w:rPr>
        <w:t>作为信息公开工作的核心，</w:t>
      </w:r>
      <w:r>
        <w:rPr>
          <w:rFonts w:hint="eastAsia" w:ascii="仿宋_GB2312" w:eastAsia="仿宋_GB2312"/>
          <w:sz w:val="32"/>
          <w:szCs w:val="32"/>
          <w:lang w:val="en-US" w:eastAsia="zh-CN"/>
        </w:rPr>
        <w:t>严格落实内容发布“三审三校”制度，</w:t>
      </w:r>
      <w:r>
        <w:rPr>
          <w:rFonts w:hint="eastAsia" w:ascii="仿宋_GB2312" w:eastAsia="仿宋_GB2312"/>
          <w:sz w:val="32"/>
          <w:szCs w:val="32"/>
        </w:rPr>
        <w:t>安排</w:t>
      </w:r>
      <w:r>
        <w:rPr>
          <w:rFonts w:hint="eastAsia" w:ascii="仿宋_GB2312" w:eastAsia="仿宋_GB2312"/>
          <w:sz w:val="32"/>
          <w:szCs w:val="32"/>
          <w:lang w:val="en-US" w:eastAsia="zh-CN"/>
        </w:rPr>
        <w:t>专人</w:t>
      </w:r>
      <w:r>
        <w:rPr>
          <w:rFonts w:hint="eastAsia" w:ascii="仿宋_GB2312" w:eastAsia="仿宋_GB2312"/>
          <w:sz w:val="32"/>
          <w:szCs w:val="32"/>
        </w:rPr>
        <w:t>负责公开信息的编辑与发布。</w:t>
      </w:r>
    </w:p>
    <w:p w14:paraId="6319DA67">
      <w:pPr>
        <w:pStyle w:val="4"/>
        <w:keepNext w:val="0"/>
        <w:keepLines w:val="0"/>
        <w:pageBreakBefore w:val="0"/>
        <w:widowControl/>
        <w:suppressLineNumbers w:val="0"/>
        <w:kinsoku/>
        <w:wordWrap/>
        <w:overflowPunct/>
        <w:topLinePunct w:val="0"/>
        <w:autoSpaceDE/>
        <w:autoSpaceDN/>
        <w:bidi w:val="0"/>
        <w:adjustRightInd/>
        <w:snapToGrid/>
        <w:spacing w:before="274" w:beforeAutospacing="0" w:after="0" w:afterAutospacing="0" w:line="540" w:lineRule="exact"/>
        <w:ind w:left="0" w:firstLine="634"/>
        <w:jc w:val="left"/>
        <w:textAlignment w:val="auto"/>
        <w:rPr>
          <w:rFonts w:hint="default" w:ascii="仿宋_GB2312" w:eastAsia="仿宋_GB2312"/>
          <w:sz w:val="32"/>
          <w:szCs w:val="32"/>
          <w:lang w:val="en-US" w:eastAsia="zh-CN"/>
        </w:rPr>
      </w:pPr>
      <w:r>
        <w:rPr>
          <w:rFonts w:hint="eastAsia" w:ascii="楷体_GB2312" w:hAnsi="楷体_GB2312" w:eastAsia="楷体_GB2312" w:cs="楷体_GB2312"/>
          <w:i w:val="0"/>
          <w:iCs w:val="0"/>
          <w:caps w:val="0"/>
          <w:color w:val="000000"/>
          <w:spacing w:val="0"/>
          <w:sz w:val="32"/>
          <w:szCs w:val="32"/>
          <w:lang w:val="en-US" w:eastAsia="zh-CN"/>
        </w:rPr>
        <w:t>5.</w:t>
      </w:r>
      <w:r>
        <w:rPr>
          <w:rFonts w:hint="eastAsia" w:ascii="楷体_GB2312" w:hAnsi="楷体_GB2312" w:eastAsia="楷体_GB2312" w:cs="楷体_GB2312"/>
          <w:i w:val="0"/>
          <w:iCs w:val="0"/>
          <w:caps w:val="0"/>
          <w:color w:val="000000"/>
          <w:spacing w:val="0"/>
          <w:sz w:val="32"/>
          <w:szCs w:val="32"/>
        </w:rPr>
        <w:t>监督保障</w:t>
      </w:r>
      <w:r>
        <w:rPr>
          <w:rFonts w:hint="eastAsia" w:ascii="楷体_GB2312" w:hAnsi="楷体_GB2312" w:eastAsia="楷体_GB2312" w:cs="楷体_GB2312"/>
          <w:i w:val="0"/>
          <w:iCs w:val="0"/>
          <w:caps w:val="0"/>
          <w:color w:val="000000"/>
          <w:spacing w:val="0"/>
          <w:sz w:val="32"/>
          <w:szCs w:val="32"/>
          <w:lang w:val="en-US" w:eastAsia="zh-CN"/>
        </w:rPr>
        <w:t>方面。</w:t>
      </w:r>
      <w:r>
        <w:rPr>
          <w:rFonts w:hint="eastAsia" w:ascii="仿宋_GB2312" w:eastAsia="仿宋_GB2312"/>
          <w:sz w:val="32"/>
          <w:szCs w:val="32"/>
        </w:rPr>
        <w:t>根据全市政府信息公开工作统一部署和要求，进一步强化信息公开工作的组织领导，</w:t>
      </w:r>
      <w:r>
        <w:rPr>
          <w:rFonts w:hint="eastAsia" w:ascii="仿宋_GB2312" w:eastAsia="仿宋_GB2312"/>
          <w:sz w:val="32"/>
          <w:szCs w:val="32"/>
          <w:lang w:val="en-US" w:eastAsia="zh-CN"/>
        </w:rPr>
        <w:t>及时更新了</w:t>
      </w:r>
      <w:r>
        <w:rPr>
          <w:rFonts w:hint="eastAsia" w:ascii="仿宋_GB2312" w:eastAsia="仿宋_GB2312"/>
          <w:sz w:val="32"/>
          <w:szCs w:val="32"/>
        </w:rPr>
        <w:t>由分管领导任组长，科室负责人任副组长，有关科室负责人为成员的</w:t>
      </w:r>
      <w:r>
        <w:rPr>
          <w:rFonts w:hint="eastAsia" w:ascii="仿宋_GB2312" w:eastAsia="仿宋_GB2312"/>
          <w:sz w:val="32"/>
          <w:szCs w:val="32"/>
          <w:lang w:val="en-US" w:eastAsia="zh-CN"/>
        </w:rPr>
        <w:t>工作队伍</w:t>
      </w:r>
      <w:r>
        <w:rPr>
          <w:rFonts w:hint="eastAsia" w:ascii="仿宋_GB2312" w:eastAsia="仿宋_GB2312"/>
          <w:sz w:val="32"/>
          <w:szCs w:val="32"/>
          <w:lang w:eastAsia="zh-CN"/>
        </w:rPr>
        <w:t>，</w:t>
      </w:r>
      <w:r>
        <w:rPr>
          <w:rFonts w:hint="eastAsia" w:ascii="仿宋_GB2312" w:eastAsia="仿宋_GB2312"/>
          <w:sz w:val="32"/>
          <w:szCs w:val="32"/>
          <w:lang w:val="en-US" w:eastAsia="zh-CN"/>
        </w:rPr>
        <w:t>并每季度组织开展政务公开业务能力培训。</w:t>
      </w:r>
    </w:p>
    <w:p w14:paraId="29C5CD2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40" w:lineRule="exact"/>
        <w:ind w:left="0" w:firstLine="634"/>
        <w:jc w:val="both"/>
        <w:textAlignment w:val="auto"/>
        <w:rPr>
          <w:rFonts w:hint="default"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本单位</w:t>
      </w:r>
      <w:r>
        <w:rPr>
          <w:rFonts w:hint="eastAsia" w:ascii="仿宋_GB2312" w:eastAsia="仿宋_GB2312"/>
          <w:sz w:val="32"/>
          <w:szCs w:val="32"/>
        </w:rPr>
        <w:t>未发生因信息公开审查不当或保密审查机构未履行保密审查职责而引起的失泄密情况。202</w:t>
      </w:r>
      <w:r>
        <w:rPr>
          <w:rFonts w:hint="eastAsia" w:ascii="仿宋_GB2312" w:eastAsia="仿宋_GB2312"/>
          <w:sz w:val="32"/>
          <w:szCs w:val="32"/>
          <w:lang w:val="en-US" w:eastAsia="zh-CN"/>
        </w:rPr>
        <w:t>4</w:t>
      </w:r>
      <w:r>
        <w:rPr>
          <w:rFonts w:hint="eastAsia" w:ascii="仿宋_GB2312" w:eastAsia="仿宋_GB2312"/>
          <w:sz w:val="32"/>
          <w:szCs w:val="32"/>
        </w:rPr>
        <w:t>年度未进行社会评议，未发生责任追究情况。</w:t>
      </w:r>
    </w:p>
    <w:p w14:paraId="137EFC53">
      <w:pPr>
        <w:pStyle w:val="4"/>
        <w:keepNext w:val="0"/>
        <w:keepLines w:val="0"/>
        <w:widowControl/>
        <w:suppressLineNumbers w:val="0"/>
        <w:spacing w:before="0" w:beforeAutospacing="1" w:after="0" w:afterAutospacing="0" w:line="195" w:lineRule="atLeast"/>
        <w:ind w:left="0" w:right="0" w:firstLine="0"/>
        <w:jc w:val="both"/>
        <w:rPr>
          <w:rFonts w:hint="default" w:ascii="sans-serif" w:hAnsi="sans-serif" w:eastAsia="sans-serif" w:cs="sans-serif"/>
          <w:i w:val="0"/>
          <w:iCs w:val="0"/>
          <w:caps w:val="0"/>
          <w:color w:val="000000"/>
          <w:spacing w:val="0"/>
          <w:sz w:val="19"/>
          <w:szCs w:val="19"/>
        </w:rPr>
      </w:pPr>
      <w:r>
        <w:rPr>
          <w:rFonts w:hint="eastAsia" w:ascii="黑体" w:hAnsi="宋体" w:eastAsia="黑体" w:cs="黑体"/>
          <w:i w:val="0"/>
          <w:iCs w:val="0"/>
          <w:caps w:val="0"/>
          <w:color w:val="333333"/>
          <w:spacing w:val="0"/>
          <w:sz w:val="30"/>
          <w:szCs w:val="30"/>
          <w:shd w:val="clear" w:fill="FFFFFF"/>
        </w:rPr>
        <w:t>    二、主动公开政府信息情况</w:t>
      </w:r>
    </w:p>
    <w:tbl>
      <w:tblPr>
        <w:tblStyle w:val="5"/>
        <w:tblW w:w="8865"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2039"/>
        <w:gridCol w:w="2054"/>
        <w:gridCol w:w="2054"/>
        <w:gridCol w:w="2718"/>
      </w:tblGrid>
      <w:tr w14:paraId="417E126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trHeight w:val="345"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326A73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第二十条第（一）项</w:t>
            </w:r>
          </w:p>
        </w:tc>
      </w:tr>
      <w:tr w14:paraId="5D87672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129A12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信息内容</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5B26F9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本年制发件数</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74DA1F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本年废止件数</w:t>
            </w:r>
          </w:p>
        </w:tc>
        <w:tc>
          <w:tcPr>
            <w:tcW w:w="1995" w:type="dxa"/>
            <w:tcBorders>
              <w:top w:val="nil"/>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234B229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现行有效件数</w:t>
            </w:r>
          </w:p>
        </w:tc>
      </w:tr>
      <w:tr w14:paraId="0EE6AA5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1EDB2E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规章</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049F5C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6A4E6CE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c>
          <w:tcPr>
            <w:tcW w:w="1995" w:type="dxa"/>
            <w:tcBorders>
              <w:top w:val="nil"/>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487FD70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r w14:paraId="368B9AC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1ECDE6E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行政规范性文件</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65391E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c>
          <w:tcPr>
            <w:tcW w:w="1995"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76E72C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c>
          <w:tcPr>
            <w:tcW w:w="1995" w:type="dxa"/>
            <w:tcBorders>
              <w:top w:val="nil"/>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78B8D1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r w14:paraId="3BE4ED3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1985D1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第二十条第（五）项</w:t>
            </w:r>
          </w:p>
        </w:tc>
      </w:tr>
      <w:tr w14:paraId="7FF838B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191FC9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210F6A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本年处理决定数量</w:t>
            </w:r>
          </w:p>
        </w:tc>
      </w:tr>
      <w:tr w14:paraId="30080D8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49EF0C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行政许可</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0624C8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r w14:paraId="0E79A1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2388AA1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第二十条第（六）项</w:t>
            </w:r>
          </w:p>
        </w:tc>
      </w:tr>
      <w:tr w14:paraId="3458074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0066F87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127036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本年处理决定数量</w:t>
            </w:r>
          </w:p>
        </w:tc>
      </w:tr>
      <w:tr w14:paraId="599B7A0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203589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行政处罚</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6A5FBA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r w14:paraId="79A63B6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3FDF83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行政强制</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4B9B5AE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r w14:paraId="60C8310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861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36560D9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第二十条第（八）项</w:t>
            </w:r>
          </w:p>
        </w:tc>
      </w:tr>
      <w:tr w14:paraId="05B376D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3953A5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信息内容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5F8017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sans-serif" w:eastAsia="仿宋_GB2312" w:cs="仿宋_GB2312"/>
                <w:i w:val="0"/>
                <w:iCs w:val="0"/>
                <w:caps w:val="0"/>
                <w:color w:val="000000"/>
                <w:spacing w:val="0"/>
                <w:sz w:val="19"/>
                <w:szCs w:val="19"/>
              </w:rPr>
              <w:t>本年收费金额（单位：万元）</w:t>
            </w:r>
          </w:p>
        </w:tc>
      </w:tr>
      <w:tr w14:paraId="2B5D034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345" w:hRule="atLeast"/>
        </w:trPr>
        <w:tc>
          <w:tcPr>
            <w:tcW w:w="1980" w:type="dxa"/>
            <w:tcBorders>
              <w:top w:val="nil"/>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744F92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eastAsia" w:ascii="仿宋_GB2312" w:hAnsi="sans-serif" w:eastAsia="仿宋_GB2312" w:cs="仿宋_GB2312"/>
                <w:i w:val="0"/>
                <w:iCs w:val="0"/>
                <w:caps w:val="0"/>
                <w:color w:val="000000"/>
                <w:spacing w:val="0"/>
                <w:sz w:val="19"/>
                <w:szCs w:val="19"/>
              </w:rPr>
              <w:t>行政事业性收费</w:t>
            </w:r>
          </w:p>
        </w:tc>
        <w:tc>
          <w:tcPr>
            <w:tcW w:w="6420" w:type="dxa"/>
            <w:gridSpan w:val="3"/>
            <w:tcBorders>
              <w:top w:val="single" w:color="000000" w:sz="8" w:space="0"/>
              <w:left w:val="single" w:color="000000" w:sz="8" w:space="0"/>
              <w:bottom w:val="single" w:color="000000" w:sz="8" w:space="0"/>
              <w:right w:val="single" w:color="000000" w:sz="8" w:space="0"/>
            </w:tcBorders>
            <w:shd w:val="clear" w:color="auto" w:fill="auto"/>
            <w:tcMar>
              <w:top w:w="0" w:type="dxa"/>
              <w:left w:w="115" w:type="dxa"/>
              <w:bottom w:w="0" w:type="dxa"/>
              <w:right w:w="115" w:type="dxa"/>
            </w:tcMar>
            <w:vAlign w:val="center"/>
          </w:tcPr>
          <w:p w14:paraId="67F0F7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hAnsi="Calibri" w:eastAsia="仿宋_GB2312" w:cs="仿宋_GB2312"/>
                <w:i w:val="0"/>
                <w:iCs w:val="0"/>
                <w:caps w:val="0"/>
                <w:color w:val="000000"/>
                <w:spacing w:val="0"/>
                <w:sz w:val="19"/>
                <w:szCs w:val="19"/>
              </w:rPr>
              <w:t>0</w:t>
            </w:r>
          </w:p>
        </w:tc>
      </w:tr>
    </w:tbl>
    <w:p w14:paraId="259C20F7">
      <w:pPr>
        <w:pStyle w:val="4"/>
        <w:keepNext w:val="0"/>
        <w:keepLines w:val="0"/>
        <w:widowControl/>
        <w:suppressLineNumbers w:val="0"/>
        <w:spacing w:before="0" w:beforeAutospacing="1" w:after="0" w:afterAutospacing="0" w:line="240" w:lineRule="atLeast"/>
        <w:ind w:left="0" w:right="0" w:firstLine="0"/>
        <w:jc w:val="left"/>
        <w:rPr>
          <w:rFonts w:hint="default" w:ascii="sans-serif" w:hAnsi="sans-serif" w:eastAsia="sans-serif" w:cs="sans-serif"/>
          <w:i w:val="0"/>
          <w:iCs w:val="0"/>
          <w:caps w:val="0"/>
          <w:color w:val="000000"/>
          <w:spacing w:val="0"/>
          <w:sz w:val="19"/>
          <w:szCs w:val="19"/>
        </w:rPr>
      </w:pPr>
      <w:r>
        <w:rPr>
          <w:rFonts w:hint="eastAsia" w:ascii="仿宋_GB2312" w:hAnsi="sans-serif" w:eastAsia="仿宋_GB2312" w:cs="仿宋_GB2312"/>
          <w:i w:val="0"/>
          <w:iCs w:val="0"/>
          <w:caps w:val="0"/>
          <w:color w:val="000000"/>
          <w:spacing w:val="0"/>
          <w:sz w:val="32"/>
          <w:szCs w:val="32"/>
          <w:shd w:val="clear" w:fill="FFFFFF"/>
        </w:rPr>
        <w:t>  </w:t>
      </w:r>
      <w:r>
        <w:rPr>
          <w:rFonts w:hint="eastAsia" w:ascii="仿宋_GB2312" w:hAnsi="sans-serif" w:eastAsia="仿宋_GB2312" w:cs="仿宋_GB2312"/>
          <w:b w:val="0"/>
          <w:bCs w:val="0"/>
          <w:i w:val="0"/>
          <w:iCs w:val="0"/>
          <w:caps w:val="0"/>
          <w:color w:val="000000"/>
          <w:spacing w:val="0"/>
          <w:sz w:val="32"/>
          <w:szCs w:val="32"/>
          <w:shd w:val="clear" w:fill="FFFFFF"/>
        </w:rPr>
        <w:t> </w:t>
      </w:r>
      <w:r>
        <w:rPr>
          <w:rFonts w:hint="eastAsia" w:ascii="黑体" w:hAnsi="黑体" w:eastAsia="黑体" w:cs="黑体"/>
          <w:b w:val="0"/>
          <w:bCs w:val="0"/>
          <w:i w:val="0"/>
          <w:iCs w:val="0"/>
          <w:caps w:val="0"/>
          <w:color w:val="000000"/>
          <w:spacing w:val="0"/>
          <w:sz w:val="32"/>
          <w:szCs w:val="32"/>
          <w:shd w:val="clear" w:fill="FFFFFF"/>
        </w:rPr>
        <w:t> 三、</w:t>
      </w:r>
      <w:r>
        <w:rPr>
          <w:rFonts w:hint="eastAsia" w:ascii="黑体" w:hAnsi="黑体" w:eastAsia="黑体" w:cs="黑体"/>
          <w:b w:val="0"/>
          <w:bCs w:val="0"/>
          <w:i w:val="0"/>
          <w:iCs w:val="0"/>
          <w:caps w:val="0"/>
          <w:color w:val="333333"/>
          <w:spacing w:val="0"/>
          <w:sz w:val="32"/>
          <w:szCs w:val="32"/>
          <w:shd w:val="clear" w:fill="FFFFFF"/>
        </w:rPr>
        <w:t>收到和处理政府信息公开申请情况</w:t>
      </w:r>
    </w:p>
    <w:tbl>
      <w:tblPr>
        <w:tblStyle w:val="5"/>
        <w:tblW w:w="10020"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503"/>
        <w:gridCol w:w="1417"/>
        <w:gridCol w:w="2966"/>
        <w:gridCol w:w="589"/>
        <w:gridCol w:w="499"/>
        <w:gridCol w:w="489"/>
        <w:gridCol w:w="763"/>
        <w:gridCol w:w="720"/>
        <w:gridCol w:w="754"/>
        <w:gridCol w:w="1320"/>
      </w:tblGrid>
      <w:tr w14:paraId="118C400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886" w:type="dxa"/>
            <w:gridSpan w:val="3"/>
            <w:vMerge w:val="restart"/>
            <w:tcBorders>
              <w:top w:val="single" w:color="000000" w:sz="8"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0212CB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ascii="楷体_GB2312" w:eastAsia="楷体_GB2312" w:cs="楷体_GB2312"/>
                <w:sz w:val="19"/>
                <w:szCs w:val="19"/>
              </w:rPr>
              <w:t>（本列数据的勾稽关系为：第一项加第二项之和，</w:t>
            </w:r>
          </w:p>
          <w:p w14:paraId="73E1C5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楷体_GB2312" w:eastAsia="楷体_GB2312" w:cs="楷体_GB2312"/>
                <w:sz w:val="19"/>
                <w:szCs w:val="19"/>
              </w:rPr>
              <w:t>等于第三项加第四项之和）</w:t>
            </w:r>
          </w:p>
        </w:tc>
        <w:tc>
          <w:tcPr>
            <w:tcW w:w="5134" w:type="dxa"/>
            <w:gridSpan w:val="7"/>
            <w:tcBorders>
              <w:top w:val="single" w:color="000000" w:sz="8"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11C3A81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sz w:val="19"/>
                <w:szCs w:val="19"/>
              </w:rPr>
              <w:t>申请人情况</w:t>
            </w:r>
          </w:p>
        </w:tc>
      </w:tr>
      <w:tr w14:paraId="5381E0D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886" w:type="dxa"/>
            <w:gridSpan w:val="3"/>
            <w:vMerge w:val="continue"/>
            <w:tcBorders>
              <w:top w:val="single" w:color="000000" w:sz="8"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74048C8C">
            <w:pPr>
              <w:rPr>
                <w:rFonts w:hint="eastAsia" w:ascii="宋体"/>
                <w:sz w:val="24"/>
                <w:szCs w:val="24"/>
              </w:rPr>
            </w:pPr>
          </w:p>
        </w:tc>
        <w:tc>
          <w:tcPr>
            <w:tcW w:w="589" w:type="dxa"/>
            <w:vMerge w:val="restart"/>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7794C1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sz w:val="19"/>
                <w:szCs w:val="19"/>
              </w:rPr>
              <w:t>自然人</w:t>
            </w:r>
          </w:p>
        </w:tc>
        <w:tc>
          <w:tcPr>
            <w:tcW w:w="3225" w:type="dxa"/>
            <w:gridSpan w:val="5"/>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0AA6E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sz w:val="19"/>
                <w:szCs w:val="19"/>
              </w:rPr>
              <w:t>法人或其他组织</w:t>
            </w:r>
          </w:p>
        </w:tc>
        <w:tc>
          <w:tcPr>
            <w:tcW w:w="1320" w:type="dxa"/>
            <w:vMerge w:val="restart"/>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5DE5E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sz w:val="19"/>
                <w:szCs w:val="19"/>
              </w:rPr>
              <w:t>总计</w:t>
            </w:r>
          </w:p>
        </w:tc>
      </w:tr>
      <w:tr w14:paraId="00D6BDB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886" w:type="dxa"/>
            <w:gridSpan w:val="3"/>
            <w:vMerge w:val="continue"/>
            <w:tcBorders>
              <w:top w:val="single" w:color="000000" w:sz="8"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12939B61">
            <w:pPr>
              <w:rPr>
                <w:rFonts w:hint="eastAsia" w:ascii="宋体"/>
                <w:sz w:val="24"/>
                <w:szCs w:val="24"/>
              </w:rPr>
            </w:pPr>
          </w:p>
        </w:tc>
        <w:tc>
          <w:tcPr>
            <w:tcW w:w="589"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EE8EF2A">
            <w:pPr>
              <w:rPr>
                <w:rFonts w:hint="eastAsia" w:ascii="宋体"/>
                <w:sz w:val="24"/>
                <w:szCs w:val="24"/>
              </w:rPr>
            </w:pP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19F16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firstLine="0"/>
              <w:jc w:val="center"/>
              <w:rPr>
                <w:rFonts w:hint="eastAsia" w:ascii="黑体" w:hAnsi="宋体" w:eastAsia="黑体" w:cs="黑体"/>
                <w:sz w:val="19"/>
                <w:szCs w:val="19"/>
              </w:rPr>
            </w:pPr>
            <w:r>
              <w:rPr>
                <w:rFonts w:hint="eastAsia" w:ascii="黑体" w:hAnsi="宋体" w:eastAsia="黑体" w:cs="黑体"/>
                <w:sz w:val="19"/>
                <w:szCs w:val="19"/>
              </w:rPr>
              <w:t>商业</w:t>
            </w:r>
          </w:p>
          <w:p w14:paraId="2EBB00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firstLine="0"/>
              <w:jc w:val="center"/>
              <w:rPr>
                <w:sz w:val="19"/>
                <w:szCs w:val="19"/>
              </w:rPr>
            </w:pPr>
            <w:r>
              <w:rPr>
                <w:rFonts w:hint="eastAsia" w:ascii="黑体" w:hAnsi="宋体" w:eastAsia="黑体" w:cs="黑体"/>
                <w:sz w:val="19"/>
                <w:szCs w:val="19"/>
              </w:rPr>
              <w:t>企业</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120B94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rPr>
                <w:rFonts w:hint="eastAsia" w:ascii="黑体" w:hAnsi="宋体" w:eastAsia="黑体" w:cs="黑体"/>
                <w:sz w:val="19"/>
                <w:szCs w:val="19"/>
              </w:rPr>
            </w:pPr>
            <w:r>
              <w:rPr>
                <w:rFonts w:hint="eastAsia" w:ascii="黑体" w:hAnsi="宋体" w:eastAsia="黑体" w:cs="黑体"/>
                <w:sz w:val="19"/>
                <w:szCs w:val="19"/>
              </w:rPr>
              <w:t>科研</w:t>
            </w:r>
          </w:p>
          <w:p w14:paraId="580951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rPr>
                <w:sz w:val="19"/>
                <w:szCs w:val="19"/>
              </w:rPr>
            </w:pPr>
            <w:r>
              <w:rPr>
                <w:rFonts w:hint="eastAsia" w:ascii="黑体" w:hAnsi="宋体" w:eastAsia="黑体" w:cs="黑体"/>
                <w:sz w:val="19"/>
                <w:szCs w:val="19"/>
              </w:rPr>
              <w:t>机构</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70863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rPr>
                <w:rFonts w:hint="eastAsia" w:ascii="黑体" w:hAnsi="宋体" w:eastAsia="黑体" w:cs="黑体"/>
                <w:sz w:val="19"/>
                <w:szCs w:val="19"/>
              </w:rPr>
            </w:pPr>
            <w:r>
              <w:rPr>
                <w:rFonts w:hint="eastAsia" w:ascii="黑体" w:hAnsi="宋体" w:eastAsia="黑体" w:cs="黑体"/>
                <w:sz w:val="19"/>
                <w:szCs w:val="19"/>
              </w:rPr>
              <w:t>社会公</w:t>
            </w:r>
          </w:p>
          <w:p w14:paraId="3051F4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jc w:val="center"/>
              <w:rPr>
                <w:sz w:val="19"/>
                <w:szCs w:val="19"/>
              </w:rPr>
            </w:pPr>
            <w:r>
              <w:rPr>
                <w:rFonts w:hint="eastAsia" w:ascii="黑体" w:hAnsi="宋体" w:eastAsia="黑体" w:cs="黑体"/>
                <w:sz w:val="19"/>
                <w:szCs w:val="19"/>
              </w:rPr>
              <w:t>益组织</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008AF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firstLine="0"/>
              <w:jc w:val="center"/>
              <w:rPr>
                <w:rFonts w:hint="eastAsia" w:ascii="黑体" w:hAnsi="宋体" w:eastAsia="黑体" w:cs="黑体"/>
                <w:sz w:val="19"/>
                <w:szCs w:val="19"/>
              </w:rPr>
            </w:pPr>
            <w:r>
              <w:rPr>
                <w:rFonts w:hint="eastAsia" w:ascii="黑体" w:hAnsi="宋体" w:eastAsia="黑体" w:cs="黑体"/>
                <w:sz w:val="19"/>
                <w:szCs w:val="19"/>
              </w:rPr>
              <w:t>法律服</w:t>
            </w:r>
          </w:p>
          <w:p w14:paraId="0037BB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101" w:firstLine="0"/>
              <w:jc w:val="center"/>
              <w:rPr>
                <w:sz w:val="19"/>
                <w:szCs w:val="19"/>
              </w:rPr>
            </w:pPr>
            <w:r>
              <w:rPr>
                <w:rFonts w:hint="eastAsia" w:ascii="黑体" w:hAnsi="宋体" w:eastAsia="黑体" w:cs="黑体"/>
                <w:sz w:val="19"/>
                <w:szCs w:val="19"/>
              </w:rPr>
              <w:t>务机构</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DC49A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58" w:right="-130"/>
              <w:jc w:val="center"/>
              <w:rPr>
                <w:sz w:val="19"/>
                <w:szCs w:val="19"/>
              </w:rPr>
            </w:pPr>
            <w:r>
              <w:rPr>
                <w:rFonts w:hint="eastAsia" w:ascii="黑体" w:hAnsi="宋体" w:eastAsia="黑体" w:cs="黑体"/>
                <w:sz w:val="19"/>
                <w:szCs w:val="19"/>
              </w:rPr>
              <w:t>其他</w:t>
            </w:r>
          </w:p>
        </w:tc>
        <w:tc>
          <w:tcPr>
            <w:tcW w:w="1320" w:type="dxa"/>
            <w:vMerge w:val="continue"/>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7B89890">
            <w:pPr>
              <w:rPr>
                <w:rFonts w:hint="eastAsia" w:ascii="宋体"/>
                <w:sz w:val="24"/>
                <w:szCs w:val="24"/>
              </w:rPr>
            </w:pPr>
          </w:p>
        </w:tc>
      </w:tr>
      <w:tr w14:paraId="7FD7353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886" w:type="dxa"/>
            <w:gridSpan w:val="3"/>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6A7D93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0" w:name="_Hlk66973412"/>
            <w:bookmarkEnd w:id="0"/>
            <w:r>
              <w:rPr>
                <w:rFonts w:hint="eastAsia" w:ascii="黑体" w:hAnsi="宋体" w:eastAsia="黑体" w:cs="黑体"/>
                <w:sz w:val="19"/>
                <w:szCs w:val="19"/>
              </w:rPr>
              <w:t>一、本年新收政府信息公开申请数量</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293409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9FD41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B2FB6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047314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60080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2230F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28AD9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B3E528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4886" w:type="dxa"/>
            <w:gridSpan w:val="3"/>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581D0A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二、上年结转政府信息公开申请数量</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5E249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B3749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24DC4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8F016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8E534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56A47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3BC72B3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EC5472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restart"/>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372424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三、本年度办理结果</w:t>
            </w:r>
          </w:p>
        </w:tc>
        <w:tc>
          <w:tcPr>
            <w:tcW w:w="4383" w:type="dxa"/>
            <w:gridSpan w:val="2"/>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6C83B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（一）予以公开</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D95FF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CACD5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D5126A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707B8F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6F959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FBA46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8180BF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6B6DDB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787FFB55">
            <w:pPr>
              <w:rPr>
                <w:rFonts w:hint="eastAsia" w:ascii="宋体"/>
                <w:sz w:val="24"/>
                <w:szCs w:val="24"/>
              </w:rPr>
            </w:pPr>
          </w:p>
        </w:tc>
        <w:tc>
          <w:tcPr>
            <w:tcW w:w="4383" w:type="dxa"/>
            <w:gridSpan w:val="2"/>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0C9787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1" w:name="_Hlk66973981"/>
            <w:bookmarkEnd w:id="1"/>
            <w:r>
              <w:rPr>
                <w:rFonts w:hint="eastAsia" w:ascii="黑体" w:hAnsi="宋体" w:eastAsia="黑体" w:cs="黑体"/>
                <w:sz w:val="19"/>
                <w:szCs w:val="19"/>
              </w:rPr>
              <w:t>（二）部分公开（区分处理的，只计这一情形，不计其他情形）</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1DED8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3E626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6E917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39DE3D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20A2E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14DCA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AF5211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9B7E2B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2764AC57">
            <w:pPr>
              <w:rPr>
                <w:rFonts w:hint="eastAsia" w:ascii="宋体"/>
                <w:sz w:val="24"/>
                <w:szCs w:val="24"/>
              </w:rPr>
            </w:pPr>
          </w:p>
        </w:tc>
        <w:tc>
          <w:tcPr>
            <w:tcW w:w="1417" w:type="dxa"/>
            <w:vMerge w:val="restart"/>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DC911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rPr>
                <w:sz w:val="19"/>
                <w:szCs w:val="19"/>
              </w:rPr>
            </w:pPr>
            <w:r>
              <w:rPr>
                <w:rFonts w:hint="eastAsia" w:ascii="黑体" w:hAnsi="宋体" w:eastAsia="黑体" w:cs="黑体"/>
                <w:sz w:val="19"/>
                <w:szCs w:val="19"/>
              </w:rPr>
              <w:t>（三）不予公开</w:t>
            </w: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DFC88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1.属于国家秘密</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45C86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A34FE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A6970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23D81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28909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0E263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3EDAC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27F3BCC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78B94EC8">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1260020">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95140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2" w:name="_Hlk66974104"/>
            <w:bookmarkEnd w:id="2"/>
            <w:r>
              <w:rPr>
                <w:rFonts w:hint="eastAsia" w:ascii="仿宋_GB2312" w:eastAsia="仿宋_GB2312" w:cs="仿宋_GB2312"/>
                <w:sz w:val="19"/>
                <w:szCs w:val="19"/>
              </w:rPr>
              <w:t>2.其他法律行政法规禁止公开</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8BC5B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83F7F1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2BC73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49AC37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BF38C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B8A4E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2E9777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0543788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4E5D6B76">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CF577A3">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81E468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3.危及“三安全一稳定”</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78560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4CB75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29A25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06DDF9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F4062E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FCBBF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9A9ED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0D3198A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1D5C39A8">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5F5891A">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4293C1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3" w:name="_Hlk66974290"/>
            <w:bookmarkEnd w:id="3"/>
            <w:r>
              <w:rPr>
                <w:rFonts w:hint="eastAsia" w:ascii="仿宋_GB2312" w:eastAsia="仿宋_GB2312" w:cs="仿宋_GB2312"/>
                <w:sz w:val="19"/>
                <w:szCs w:val="19"/>
              </w:rPr>
              <w:t>4.保护第三方合法权益</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D40BB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2FF0C2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ABE70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5B2AB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3672B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743FD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2D014BC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2FB4668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7C264FBF">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265FCF8">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F81B3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5.属于三类内部事务信息</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BB9F3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4EC2C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106BBE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16175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FDEA35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7E08D9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233054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8FF7B7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0EF4B63E">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2DBA663">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8DF20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4" w:name="_Hlk66974555"/>
            <w:bookmarkEnd w:id="4"/>
            <w:r>
              <w:rPr>
                <w:rFonts w:hint="eastAsia" w:ascii="仿宋_GB2312" w:eastAsia="仿宋_GB2312" w:cs="仿宋_GB2312"/>
                <w:sz w:val="19"/>
                <w:szCs w:val="19"/>
              </w:rPr>
              <w:t>6.属于四类过程性信息</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F9D2A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573300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E292BF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56347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934EB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09751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FB566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B37692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277DE614">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AA0EF05">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5B57D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7.属于行政执法案卷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40D50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F7C4B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138E18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CC2A9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27577C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D8F27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7D3EA3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902A8C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3A02DA1F">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66F3F40">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F4F679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5" w:name="_Hlk66975211"/>
            <w:bookmarkEnd w:id="5"/>
            <w:r>
              <w:rPr>
                <w:rFonts w:hint="eastAsia" w:ascii="仿宋_GB2312" w:eastAsia="仿宋_GB2312" w:cs="仿宋_GB2312"/>
                <w:sz w:val="19"/>
                <w:szCs w:val="19"/>
              </w:rPr>
              <w:t>8.属于行政查询事项</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DCDA9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F588E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923812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A5F996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38502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EE2113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52CC7A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1AEB49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2907D6B0">
            <w:pPr>
              <w:rPr>
                <w:rFonts w:hint="eastAsia" w:ascii="宋体"/>
                <w:sz w:val="24"/>
                <w:szCs w:val="24"/>
              </w:rPr>
            </w:pPr>
          </w:p>
        </w:tc>
        <w:tc>
          <w:tcPr>
            <w:tcW w:w="1417" w:type="dxa"/>
            <w:vMerge w:val="restart"/>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8AEB2E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rPr>
                <w:sz w:val="19"/>
                <w:szCs w:val="19"/>
              </w:rPr>
            </w:pPr>
            <w:r>
              <w:rPr>
                <w:rFonts w:hint="eastAsia" w:ascii="黑体" w:hAnsi="宋体" w:eastAsia="黑体" w:cs="黑体"/>
                <w:sz w:val="19"/>
                <w:szCs w:val="19"/>
              </w:rPr>
              <w:t>（四）无法提供</w:t>
            </w: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B34D5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1.本机关不掌握相关政府信息</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CFA71D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6370D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947F1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EF99E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6EB02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2D928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FA016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741CBC6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57C6A11B">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25532D1">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8D8F0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6" w:name="_Hlk66975392"/>
            <w:bookmarkEnd w:id="6"/>
            <w:r>
              <w:rPr>
                <w:rFonts w:hint="eastAsia" w:ascii="仿宋_GB2312" w:eastAsia="仿宋_GB2312" w:cs="仿宋_GB2312"/>
                <w:sz w:val="19"/>
                <w:szCs w:val="19"/>
              </w:rPr>
              <w:t>2.没有现成信息需要另行制作</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0322C1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7E634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3CED5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85FE4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66400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BC3BAE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26FEF9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2E8BEA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7EBAB278">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6F948F1">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0AC36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7" w:name="_Hlk66975466"/>
            <w:bookmarkEnd w:id="7"/>
            <w:r>
              <w:rPr>
                <w:rFonts w:hint="eastAsia" w:ascii="仿宋_GB2312" w:eastAsia="仿宋_GB2312" w:cs="仿宋_GB2312"/>
                <w:sz w:val="19"/>
                <w:szCs w:val="19"/>
              </w:rPr>
              <w:t>3.补正后申请内容仍不明确</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17F40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F40A32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CAB65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6E7EF5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AEF8B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4B1BD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2511E8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C4FF5E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00809F8F">
            <w:pPr>
              <w:rPr>
                <w:rFonts w:hint="eastAsia" w:ascii="宋体"/>
                <w:sz w:val="24"/>
                <w:szCs w:val="24"/>
              </w:rPr>
            </w:pPr>
          </w:p>
        </w:tc>
        <w:tc>
          <w:tcPr>
            <w:tcW w:w="1417" w:type="dxa"/>
            <w:vMerge w:val="restart"/>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F7C84E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1" w:right="0"/>
              <w:rPr>
                <w:sz w:val="19"/>
                <w:szCs w:val="19"/>
              </w:rPr>
            </w:pPr>
            <w:r>
              <w:rPr>
                <w:rFonts w:hint="eastAsia" w:ascii="黑体" w:hAnsi="宋体" w:eastAsia="黑体" w:cs="黑体"/>
                <w:sz w:val="19"/>
                <w:szCs w:val="19"/>
              </w:rPr>
              <w:t>（五）不予处理</w:t>
            </w: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32DC9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bookmarkStart w:id="8" w:name="_Hlk66975537"/>
            <w:bookmarkEnd w:id="8"/>
            <w:r>
              <w:rPr>
                <w:rFonts w:hint="eastAsia" w:ascii="仿宋_GB2312" w:eastAsia="仿宋_GB2312" w:cs="仿宋_GB2312"/>
                <w:sz w:val="19"/>
                <w:szCs w:val="19"/>
              </w:rPr>
              <w:t>1.信访举报投诉类申请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65077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6192B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36DCD7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37B72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4B1435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077F13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306706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2370660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3CE96878">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F52FDA9">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5AD6F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2.重复申请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6920D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CE7821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8AD70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BF8502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A5DED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877E60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2D8E838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BF2995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4959F099">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19C97E4">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A67A8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3.要求提供公开出版物</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E7715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6C92E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359601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A8739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E4C40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A8091D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5611F1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32F5B6A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496E6242">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3732FC6">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989E2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4.无正当理由大量反复申请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AF81E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378D5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967C47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6747A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5E150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688E52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37BE02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645F75F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14AD71B2">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4A71B4C">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F15C5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5.要求行政机关确认或重新</w:t>
            </w:r>
          </w:p>
          <w:p w14:paraId="331A2CE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firstLine="216"/>
              <w:rPr>
                <w:sz w:val="19"/>
                <w:szCs w:val="19"/>
              </w:rPr>
            </w:pPr>
            <w:r>
              <w:rPr>
                <w:rFonts w:hint="eastAsia" w:ascii="仿宋_GB2312" w:eastAsia="仿宋_GB2312" w:cs="仿宋_GB2312"/>
                <w:sz w:val="19"/>
                <w:szCs w:val="19"/>
              </w:rPr>
              <w:t>出具已获取信息</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B5D4A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3CCE09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EF1543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8FEFC5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08A295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06DFA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49B77D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5644B48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57E4BC49">
            <w:pPr>
              <w:rPr>
                <w:rFonts w:hint="eastAsia" w:ascii="宋体"/>
                <w:sz w:val="24"/>
                <w:szCs w:val="24"/>
              </w:rPr>
            </w:pPr>
          </w:p>
        </w:tc>
        <w:tc>
          <w:tcPr>
            <w:tcW w:w="1417" w:type="dxa"/>
            <w:vMerge w:val="restart"/>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47BB4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（六）其他处理</w:t>
            </w:r>
          </w:p>
        </w:tc>
        <w:tc>
          <w:tcPr>
            <w:tcW w:w="2966" w:type="dxa"/>
            <w:tcBorders>
              <w:top w:val="single" w:color="000000" w:sz="6" w:space="0"/>
              <w:left w:val="single" w:color="000000" w:sz="6" w:space="0"/>
              <w:bottom w:val="single" w:color="000000" w:sz="6" w:space="0"/>
              <w:right w:val="nil"/>
            </w:tcBorders>
            <w:shd w:val="clear" w:color="auto" w:fill="auto"/>
            <w:tcMar>
              <w:top w:w="0" w:type="dxa"/>
              <w:left w:w="0" w:type="dxa"/>
              <w:bottom w:w="0" w:type="dxa"/>
              <w:right w:w="0" w:type="dxa"/>
            </w:tcMar>
            <w:vAlign w:val="center"/>
          </w:tcPr>
          <w:p w14:paraId="559056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1.申请人无正当理由逾期不补正、行政机关不再处理其政府信息公开申请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6A87E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16FAC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B3998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831D7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25F492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AC0DBB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3D6C6CC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7787140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354D7F3B">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47FBA96">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0" w:type="dxa"/>
              <w:bottom w:w="0" w:type="dxa"/>
              <w:right w:w="0" w:type="dxa"/>
            </w:tcMar>
            <w:vAlign w:val="center"/>
          </w:tcPr>
          <w:p w14:paraId="75BABF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2.申请人逾期未按收费通知要求缴纳费用、行政机关不再处理其政府信息公开申请</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2193F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08778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6159AA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F73EE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27754A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8B737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5EEAF7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11EFF13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45F7092B">
            <w:pPr>
              <w:rPr>
                <w:rFonts w:hint="eastAsia" w:ascii="宋体"/>
                <w:sz w:val="24"/>
                <w:szCs w:val="24"/>
              </w:rPr>
            </w:pPr>
          </w:p>
        </w:tc>
        <w:tc>
          <w:tcPr>
            <w:tcW w:w="1417" w:type="dxa"/>
            <w:vMerge w:val="continue"/>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66CA0DC">
            <w:pPr>
              <w:rPr>
                <w:rFonts w:hint="eastAsia" w:ascii="宋体"/>
                <w:sz w:val="24"/>
                <w:szCs w:val="24"/>
              </w:rPr>
            </w:pPr>
          </w:p>
        </w:tc>
        <w:tc>
          <w:tcPr>
            <w:tcW w:w="2966" w:type="dxa"/>
            <w:tcBorders>
              <w:top w:val="single" w:color="000000" w:sz="6" w:space="0"/>
              <w:left w:val="single" w:color="000000" w:sz="6" w:space="0"/>
              <w:bottom w:val="single" w:color="000000" w:sz="6" w:space="0"/>
              <w:right w:val="nil"/>
            </w:tcBorders>
            <w:shd w:val="clear" w:color="auto" w:fill="auto"/>
            <w:tcMar>
              <w:top w:w="0" w:type="dxa"/>
              <w:left w:w="0" w:type="dxa"/>
              <w:bottom w:w="0" w:type="dxa"/>
              <w:right w:w="0" w:type="dxa"/>
            </w:tcMar>
            <w:vAlign w:val="center"/>
          </w:tcPr>
          <w:p w14:paraId="4E205D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仿宋_GB2312" w:eastAsia="仿宋_GB2312" w:cs="仿宋_GB2312"/>
                <w:sz w:val="19"/>
                <w:szCs w:val="19"/>
              </w:rPr>
              <w:t>3.其他</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13CD26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E3361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187629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58874AF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407B7C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26B5E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6E718C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2868A05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jc w:val="center"/>
        </w:trPr>
        <w:tc>
          <w:tcPr>
            <w:tcW w:w="503" w:type="dxa"/>
            <w:vMerge w:val="continue"/>
            <w:tcBorders>
              <w:top w:val="single" w:color="000000" w:sz="6" w:space="0"/>
              <w:left w:val="single" w:color="000000" w:sz="8" w:space="0"/>
              <w:bottom w:val="single" w:color="000000" w:sz="6" w:space="0"/>
              <w:right w:val="nil"/>
            </w:tcBorders>
            <w:shd w:val="clear" w:color="auto" w:fill="auto"/>
            <w:tcMar>
              <w:top w:w="0" w:type="dxa"/>
              <w:left w:w="115" w:type="dxa"/>
              <w:bottom w:w="0" w:type="dxa"/>
              <w:right w:w="0" w:type="dxa"/>
            </w:tcMar>
            <w:vAlign w:val="center"/>
          </w:tcPr>
          <w:p w14:paraId="22952D18">
            <w:pPr>
              <w:rPr>
                <w:rFonts w:hint="eastAsia" w:ascii="宋体"/>
                <w:sz w:val="24"/>
                <w:szCs w:val="24"/>
              </w:rPr>
            </w:pPr>
          </w:p>
        </w:tc>
        <w:tc>
          <w:tcPr>
            <w:tcW w:w="4383" w:type="dxa"/>
            <w:gridSpan w:val="2"/>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75B5E0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（七）总计</w:t>
            </w:r>
          </w:p>
        </w:tc>
        <w:tc>
          <w:tcPr>
            <w:tcW w:w="5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4A48C7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108800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0E6B4F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D5D73F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6C464DC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6" w:space="0"/>
              <w:right w:val="nil"/>
            </w:tcBorders>
            <w:shd w:val="clear" w:color="auto" w:fill="auto"/>
            <w:tcMar>
              <w:top w:w="0" w:type="dxa"/>
              <w:left w:w="115" w:type="dxa"/>
              <w:bottom w:w="0" w:type="dxa"/>
              <w:right w:w="0" w:type="dxa"/>
            </w:tcMar>
            <w:vAlign w:val="center"/>
          </w:tcPr>
          <w:p w14:paraId="2989FEA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6" w:space="0"/>
              <w:right w:val="single" w:color="000000" w:sz="8" w:space="0"/>
            </w:tcBorders>
            <w:shd w:val="clear" w:color="auto" w:fill="auto"/>
            <w:tcMar>
              <w:top w:w="0" w:type="dxa"/>
              <w:left w:w="115" w:type="dxa"/>
              <w:bottom w:w="0" w:type="dxa"/>
              <w:right w:w="115" w:type="dxa"/>
            </w:tcMar>
            <w:vAlign w:val="center"/>
          </w:tcPr>
          <w:p w14:paraId="0072A67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r w14:paraId="172E4B4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4886" w:type="dxa"/>
            <w:gridSpan w:val="3"/>
            <w:tcBorders>
              <w:top w:val="single" w:color="000000" w:sz="6" w:space="0"/>
              <w:left w:val="single" w:color="000000" w:sz="8" w:space="0"/>
              <w:bottom w:val="single" w:color="000000" w:sz="8" w:space="0"/>
              <w:right w:val="nil"/>
            </w:tcBorders>
            <w:shd w:val="clear" w:color="auto" w:fill="auto"/>
            <w:tcMar>
              <w:top w:w="0" w:type="dxa"/>
              <w:left w:w="115" w:type="dxa"/>
              <w:bottom w:w="0" w:type="dxa"/>
              <w:right w:w="0" w:type="dxa"/>
            </w:tcMar>
            <w:vAlign w:val="center"/>
          </w:tcPr>
          <w:p w14:paraId="21673F7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rPr>
                <w:sz w:val="19"/>
                <w:szCs w:val="19"/>
              </w:rPr>
            </w:pPr>
            <w:r>
              <w:rPr>
                <w:rFonts w:hint="eastAsia" w:ascii="黑体" w:hAnsi="宋体" w:eastAsia="黑体" w:cs="黑体"/>
                <w:sz w:val="19"/>
                <w:szCs w:val="19"/>
              </w:rPr>
              <w:t>四、结转下年度继续办理</w:t>
            </w:r>
          </w:p>
        </w:tc>
        <w:tc>
          <w:tcPr>
            <w:tcW w:w="589"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2B1D33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99"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349940B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489"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366FA67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63"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43C72F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20"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5DF945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754" w:type="dxa"/>
            <w:tcBorders>
              <w:top w:val="single" w:color="000000" w:sz="6" w:space="0"/>
              <w:left w:val="single" w:color="000000" w:sz="6" w:space="0"/>
              <w:bottom w:val="single" w:color="000000" w:sz="8" w:space="0"/>
              <w:right w:val="nil"/>
            </w:tcBorders>
            <w:shd w:val="clear" w:color="auto" w:fill="auto"/>
            <w:tcMar>
              <w:top w:w="0" w:type="dxa"/>
              <w:left w:w="115" w:type="dxa"/>
              <w:bottom w:w="0" w:type="dxa"/>
              <w:right w:w="0" w:type="dxa"/>
            </w:tcMar>
            <w:vAlign w:val="center"/>
          </w:tcPr>
          <w:p w14:paraId="6AA491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c>
          <w:tcPr>
            <w:tcW w:w="1320" w:type="dxa"/>
            <w:tcBorders>
              <w:top w:val="single" w:color="000000" w:sz="6" w:space="0"/>
              <w:left w:val="single" w:color="000000" w:sz="6" w:space="0"/>
              <w:bottom w:val="single" w:color="000000" w:sz="8" w:space="0"/>
              <w:right w:val="single" w:color="000000" w:sz="8" w:space="0"/>
            </w:tcBorders>
            <w:shd w:val="clear" w:color="auto" w:fill="auto"/>
            <w:tcMar>
              <w:top w:w="0" w:type="dxa"/>
              <w:left w:w="115" w:type="dxa"/>
              <w:bottom w:w="0" w:type="dxa"/>
              <w:right w:w="115" w:type="dxa"/>
            </w:tcMar>
            <w:vAlign w:val="center"/>
          </w:tcPr>
          <w:p w14:paraId="5B6883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仿宋_GB2312" w:eastAsia="仿宋_GB2312" w:cs="仿宋_GB2312"/>
                <w:sz w:val="19"/>
                <w:szCs w:val="19"/>
              </w:rPr>
              <w:t>0</w:t>
            </w:r>
          </w:p>
        </w:tc>
      </w:tr>
    </w:tbl>
    <w:p w14:paraId="6E0D7B57">
      <w:pPr>
        <w:pStyle w:val="4"/>
        <w:keepNext w:val="0"/>
        <w:keepLines w:val="0"/>
        <w:widowControl/>
        <w:suppressLineNumbers w:val="0"/>
        <w:shd w:val="clear" w:fill="FFFFFF"/>
        <w:spacing w:before="216" w:beforeAutospacing="0" w:after="216" w:afterAutospacing="0" w:line="562" w:lineRule="atLeast"/>
        <w:ind w:left="0" w:firstLine="0"/>
        <w:jc w:val="both"/>
        <w:rPr>
          <w:rFonts w:hint="default" w:ascii="sans-serif" w:hAnsi="sans-serif" w:eastAsia="sans-serif" w:cs="sans-serif"/>
          <w:i w:val="0"/>
          <w:iCs w:val="0"/>
          <w:caps w:val="0"/>
          <w:color w:val="000000"/>
          <w:spacing w:val="0"/>
          <w:sz w:val="32"/>
          <w:szCs w:val="32"/>
        </w:rPr>
      </w:pPr>
      <w:r>
        <w:rPr>
          <w:rFonts w:hint="eastAsia" w:ascii="黑体" w:hAnsi="宋体" w:eastAsia="黑体" w:cs="黑体"/>
          <w:i w:val="0"/>
          <w:iCs w:val="0"/>
          <w:caps w:val="0"/>
          <w:color w:val="333333"/>
          <w:spacing w:val="0"/>
          <w:sz w:val="32"/>
          <w:szCs w:val="32"/>
          <w:shd w:val="clear" w:fill="FFFFFF"/>
        </w:rPr>
        <w:t>    四、政府信息公开行政复议、行政诉讼情况</w:t>
      </w:r>
    </w:p>
    <w:tbl>
      <w:tblPr>
        <w:tblStyle w:val="5"/>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75" w:type="dxa"/>
          <w:left w:w="150" w:type="dxa"/>
          <w:bottom w:w="75" w:type="dxa"/>
          <w:right w:w="150" w:type="dxa"/>
        </w:tblCellMar>
      </w:tblPr>
      <w:tblGrid>
        <w:gridCol w:w="561"/>
        <w:gridCol w:w="561"/>
        <w:gridCol w:w="561"/>
        <w:gridCol w:w="561"/>
        <w:gridCol w:w="637"/>
        <w:gridCol w:w="522"/>
        <w:gridCol w:w="561"/>
        <w:gridCol w:w="561"/>
        <w:gridCol w:w="561"/>
        <w:gridCol w:w="586"/>
        <w:gridCol w:w="561"/>
        <w:gridCol w:w="561"/>
        <w:gridCol w:w="561"/>
        <w:gridCol w:w="561"/>
        <w:gridCol w:w="600"/>
      </w:tblGrid>
      <w:tr w14:paraId="4EE1E01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75" w:type="dxa"/>
            <w:left w:w="150" w:type="dxa"/>
            <w:bottom w:w="75" w:type="dxa"/>
            <w:right w:w="150" w:type="dxa"/>
          </w:tblCellMar>
        </w:tblPrEx>
        <w:trPr>
          <w:trHeight w:val="495" w:hRule="atLeast"/>
          <w:jc w:val="center"/>
        </w:trPr>
        <w:tc>
          <w:tcPr>
            <w:tcW w:w="3075" w:type="dxa"/>
            <w:gridSpan w:val="5"/>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528B63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行政复议</w:t>
            </w:r>
          </w:p>
        </w:tc>
        <w:tc>
          <w:tcPr>
            <w:tcW w:w="6000" w:type="dxa"/>
            <w:gridSpan w:val="10"/>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72B996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行政诉讼</w:t>
            </w:r>
          </w:p>
        </w:tc>
      </w:tr>
      <w:tr w14:paraId="0698370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540" w:hRule="atLeast"/>
          <w:jc w:val="center"/>
        </w:trPr>
        <w:tc>
          <w:tcPr>
            <w:tcW w:w="600" w:type="dxa"/>
            <w:vMerge w:val="restart"/>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AF54B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0" w:right="-165"/>
              <w:jc w:val="center"/>
            </w:pPr>
            <w:r>
              <w:rPr>
                <w:rFonts w:hint="eastAsia" w:ascii="黑体" w:hAnsi="宋体" w:eastAsia="黑体" w:cs="黑体"/>
                <w:i w:val="0"/>
                <w:iCs w:val="0"/>
                <w:caps w:val="0"/>
                <w:color w:val="000000"/>
                <w:spacing w:val="0"/>
                <w:sz w:val="19"/>
                <w:szCs w:val="19"/>
              </w:rPr>
              <w:t>结果</w:t>
            </w:r>
          </w:p>
          <w:p w14:paraId="5182157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50" w:right="-165"/>
              <w:jc w:val="center"/>
            </w:pPr>
            <w:r>
              <w:rPr>
                <w:rFonts w:hint="eastAsia" w:ascii="黑体" w:hAnsi="宋体" w:eastAsia="黑体" w:cs="黑体"/>
                <w:i w:val="0"/>
                <w:iCs w:val="0"/>
                <w:caps w:val="0"/>
                <w:color w:val="000000"/>
                <w:spacing w:val="0"/>
                <w:sz w:val="19"/>
                <w:szCs w:val="19"/>
              </w:rPr>
              <w:t>维持</w:t>
            </w:r>
          </w:p>
        </w:tc>
        <w:tc>
          <w:tcPr>
            <w:tcW w:w="600" w:type="dxa"/>
            <w:vMerge w:val="restart"/>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1F540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45" w:right="-135" w:firstLine="0"/>
              <w:jc w:val="center"/>
            </w:pPr>
            <w:r>
              <w:rPr>
                <w:rFonts w:hint="eastAsia" w:ascii="黑体" w:hAnsi="宋体" w:eastAsia="黑体" w:cs="黑体"/>
                <w:i w:val="0"/>
                <w:iCs w:val="0"/>
                <w:caps w:val="0"/>
                <w:color w:val="000000"/>
                <w:spacing w:val="0"/>
                <w:sz w:val="19"/>
                <w:szCs w:val="19"/>
              </w:rPr>
              <w:t>结果纠正</w:t>
            </w:r>
          </w:p>
        </w:tc>
        <w:tc>
          <w:tcPr>
            <w:tcW w:w="600" w:type="dxa"/>
            <w:vMerge w:val="restart"/>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0E6FEBD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75" w:right="-90"/>
              <w:jc w:val="center"/>
            </w:pPr>
            <w:r>
              <w:rPr>
                <w:rFonts w:hint="eastAsia" w:ascii="黑体" w:hAnsi="宋体" w:eastAsia="黑体" w:cs="黑体"/>
                <w:i w:val="0"/>
                <w:iCs w:val="0"/>
                <w:caps w:val="0"/>
                <w:color w:val="000000"/>
                <w:spacing w:val="0"/>
                <w:sz w:val="19"/>
                <w:szCs w:val="19"/>
              </w:rPr>
              <w:t>其他结果</w:t>
            </w:r>
          </w:p>
        </w:tc>
        <w:tc>
          <w:tcPr>
            <w:tcW w:w="600" w:type="dxa"/>
            <w:vMerge w:val="restart"/>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16A1DF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20"/>
              <w:jc w:val="center"/>
            </w:pPr>
            <w:r>
              <w:rPr>
                <w:rFonts w:hint="eastAsia" w:ascii="黑体" w:hAnsi="宋体" w:eastAsia="黑体" w:cs="黑体"/>
                <w:i w:val="0"/>
                <w:iCs w:val="0"/>
                <w:caps w:val="0"/>
                <w:color w:val="000000"/>
                <w:spacing w:val="0"/>
                <w:sz w:val="19"/>
                <w:szCs w:val="19"/>
              </w:rPr>
              <w:t>尚未</w:t>
            </w:r>
          </w:p>
          <w:p w14:paraId="7E32B25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20"/>
              <w:jc w:val="center"/>
            </w:pPr>
            <w:r>
              <w:rPr>
                <w:rFonts w:hint="eastAsia" w:ascii="黑体" w:hAnsi="宋体" w:eastAsia="黑体" w:cs="黑体"/>
                <w:i w:val="0"/>
                <w:iCs w:val="0"/>
                <w:caps w:val="0"/>
                <w:color w:val="000000"/>
                <w:spacing w:val="0"/>
                <w:sz w:val="19"/>
                <w:szCs w:val="19"/>
              </w:rPr>
              <w:t>审结</w:t>
            </w:r>
          </w:p>
        </w:tc>
        <w:tc>
          <w:tcPr>
            <w:tcW w:w="660" w:type="dxa"/>
            <w:vMerge w:val="restart"/>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735194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总</w:t>
            </w:r>
          </w:p>
          <w:p w14:paraId="43310D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计</w:t>
            </w:r>
          </w:p>
        </w:tc>
        <w:tc>
          <w:tcPr>
            <w:tcW w:w="2970" w:type="dxa"/>
            <w:gridSpan w:val="5"/>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2948015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未经复议直接起诉</w:t>
            </w:r>
          </w:p>
        </w:tc>
        <w:tc>
          <w:tcPr>
            <w:tcW w:w="3030" w:type="dxa"/>
            <w:gridSpan w:val="5"/>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A35A4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bookmarkStart w:id="9" w:name="_Hlk67039688"/>
            <w:r>
              <w:rPr>
                <w:rFonts w:hint="eastAsia" w:ascii="黑体" w:hAnsi="宋体" w:eastAsia="黑体" w:cs="黑体"/>
                <w:i w:val="0"/>
                <w:iCs w:val="0"/>
                <w:caps w:val="0"/>
                <w:color w:val="000000"/>
                <w:spacing w:val="0"/>
                <w:sz w:val="19"/>
                <w:szCs w:val="19"/>
              </w:rPr>
              <w:t>复议后起诉</w:t>
            </w:r>
            <w:bookmarkEnd w:id="9"/>
          </w:p>
        </w:tc>
      </w:tr>
      <w:tr w14:paraId="43D4C56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900" w:hRule="atLeast"/>
          <w:jc w:val="center"/>
        </w:trPr>
        <w:tc>
          <w:tcPr>
            <w:tcW w:w="600" w:type="dxa"/>
            <w:vMerge w:val="continue"/>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02AAECC">
            <w:pPr>
              <w:rPr>
                <w:rFonts w:hint="default" w:ascii="sans-serif" w:hAnsi="sans-serif" w:eastAsia="sans-serif" w:cs="sans-serif"/>
                <w:i w:val="0"/>
                <w:iCs w:val="0"/>
                <w:caps w:val="0"/>
                <w:color w:val="000000"/>
                <w:spacing w:val="0"/>
                <w:sz w:val="27"/>
                <w:szCs w:val="27"/>
              </w:rPr>
            </w:pPr>
          </w:p>
        </w:tc>
        <w:tc>
          <w:tcPr>
            <w:tcW w:w="600" w:type="dxa"/>
            <w:vMerge w:val="continue"/>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1A63DD3">
            <w:pPr>
              <w:rPr>
                <w:rFonts w:hint="default" w:ascii="sans-serif" w:hAnsi="sans-serif" w:eastAsia="sans-serif" w:cs="sans-serif"/>
                <w:i w:val="0"/>
                <w:iCs w:val="0"/>
                <w:caps w:val="0"/>
                <w:color w:val="000000"/>
                <w:spacing w:val="0"/>
                <w:sz w:val="27"/>
                <w:szCs w:val="27"/>
              </w:rPr>
            </w:pPr>
          </w:p>
        </w:tc>
        <w:tc>
          <w:tcPr>
            <w:tcW w:w="600" w:type="dxa"/>
            <w:vMerge w:val="continue"/>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7741B36">
            <w:pPr>
              <w:rPr>
                <w:rFonts w:hint="default" w:ascii="sans-serif" w:hAnsi="sans-serif" w:eastAsia="sans-serif" w:cs="sans-serif"/>
                <w:i w:val="0"/>
                <w:iCs w:val="0"/>
                <w:caps w:val="0"/>
                <w:color w:val="000000"/>
                <w:spacing w:val="0"/>
                <w:sz w:val="27"/>
                <w:szCs w:val="27"/>
              </w:rPr>
            </w:pPr>
          </w:p>
        </w:tc>
        <w:tc>
          <w:tcPr>
            <w:tcW w:w="600" w:type="dxa"/>
            <w:vMerge w:val="continue"/>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7F446D45">
            <w:pPr>
              <w:rPr>
                <w:rFonts w:hint="default" w:ascii="sans-serif" w:hAnsi="sans-serif" w:eastAsia="sans-serif" w:cs="sans-serif"/>
                <w:i w:val="0"/>
                <w:iCs w:val="0"/>
                <w:caps w:val="0"/>
                <w:color w:val="000000"/>
                <w:spacing w:val="0"/>
                <w:sz w:val="27"/>
                <w:szCs w:val="27"/>
              </w:rPr>
            </w:pPr>
          </w:p>
        </w:tc>
        <w:tc>
          <w:tcPr>
            <w:tcW w:w="660" w:type="dxa"/>
            <w:vMerge w:val="continue"/>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0EDF4157">
            <w:pPr>
              <w:rPr>
                <w:rFonts w:hint="default" w:ascii="sans-serif" w:hAnsi="sans-serif" w:eastAsia="sans-serif" w:cs="sans-serif"/>
                <w:i w:val="0"/>
                <w:iCs w:val="0"/>
                <w:caps w:val="0"/>
                <w:color w:val="000000"/>
                <w:spacing w:val="0"/>
                <w:sz w:val="27"/>
                <w:szCs w:val="27"/>
              </w:rPr>
            </w:pPr>
          </w:p>
        </w:tc>
        <w:tc>
          <w:tcPr>
            <w:tcW w:w="55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2BBB8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120"/>
              <w:jc w:val="center"/>
            </w:pPr>
            <w:r>
              <w:rPr>
                <w:rFonts w:hint="eastAsia" w:ascii="黑体" w:hAnsi="宋体" w:eastAsia="黑体" w:cs="黑体"/>
                <w:i w:val="0"/>
                <w:iCs w:val="0"/>
                <w:caps w:val="0"/>
                <w:color w:val="000000"/>
                <w:spacing w:val="0"/>
                <w:sz w:val="19"/>
                <w:szCs w:val="19"/>
              </w:rPr>
              <w:t>结果维持</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1F490A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90" w:right="-90"/>
              <w:jc w:val="center"/>
            </w:pPr>
            <w:r>
              <w:rPr>
                <w:rFonts w:hint="eastAsia" w:ascii="黑体" w:hAnsi="宋体" w:eastAsia="黑体" w:cs="黑体"/>
                <w:i w:val="0"/>
                <w:iCs w:val="0"/>
                <w:caps w:val="0"/>
                <w:color w:val="000000"/>
                <w:spacing w:val="0"/>
                <w:sz w:val="19"/>
                <w:szCs w:val="19"/>
              </w:rPr>
              <w:t>结果纠正</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C56709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35"/>
              <w:jc w:val="center"/>
            </w:pPr>
            <w:r>
              <w:rPr>
                <w:rFonts w:hint="eastAsia" w:ascii="黑体" w:hAnsi="宋体" w:eastAsia="黑体" w:cs="黑体"/>
                <w:i w:val="0"/>
                <w:iCs w:val="0"/>
                <w:caps w:val="0"/>
                <w:color w:val="000000"/>
                <w:spacing w:val="0"/>
                <w:sz w:val="19"/>
                <w:szCs w:val="19"/>
              </w:rPr>
              <w:t>其他</w:t>
            </w:r>
          </w:p>
          <w:p w14:paraId="29BF10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20" w:right="-135"/>
              <w:jc w:val="center"/>
            </w:pPr>
            <w:r>
              <w:rPr>
                <w:rFonts w:hint="eastAsia" w:ascii="黑体" w:hAnsi="宋体" w:eastAsia="黑体" w:cs="黑体"/>
                <w:i w:val="0"/>
                <w:iCs w:val="0"/>
                <w:caps w:val="0"/>
                <w:color w:val="000000"/>
                <w:spacing w:val="0"/>
                <w:sz w:val="19"/>
                <w:szCs w:val="19"/>
              </w:rPr>
              <w:t>结果</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1DB580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65" w:right="-150"/>
              <w:jc w:val="center"/>
            </w:pPr>
            <w:r>
              <w:rPr>
                <w:rFonts w:hint="eastAsia" w:ascii="黑体" w:hAnsi="宋体" w:eastAsia="黑体" w:cs="黑体"/>
                <w:i w:val="0"/>
                <w:iCs w:val="0"/>
                <w:caps w:val="0"/>
                <w:color w:val="000000"/>
                <w:spacing w:val="0"/>
                <w:sz w:val="19"/>
                <w:szCs w:val="19"/>
              </w:rPr>
              <w:t>尚未</w:t>
            </w:r>
          </w:p>
          <w:p w14:paraId="25D14D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65" w:right="-150"/>
              <w:jc w:val="center"/>
            </w:pPr>
            <w:r>
              <w:rPr>
                <w:rFonts w:hint="eastAsia" w:ascii="黑体" w:hAnsi="宋体" w:eastAsia="黑体" w:cs="黑体"/>
                <w:i w:val="0"/>
                <w:iCs w:val="0"/>
                <w:caps w:val="0"/>
                <w:color w:val="000000"/>
                <w:spacing w:val="0"/>
                <w:sz w:val="19"/>
                <w:szCs w:val="19"/>
              </w:rPr>
              <w:t>审结</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1E2EF6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总计</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44732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05" w:right="-75"/>
              <w:jc w:val="center"/>
            </w:pPr>
            <w:r>
              <w:rPr>
                <w:rFonts w:hint="eastAsia" w:ascii="黑体" w:hAnsi="宋体" w:eastAsia="黑体" w:cs="黑体"/>
                <w:i w:val="0"/>
                <w:iCs w:val="0"/>
                <w:caps w:val="0"/>
                <w:color w:val="000000"/>
                <w:spacing w:val="0"/>
                <w:sz w:val="19"/>
                <w:szCs w:val="19"/>
              </w:rPr>
              <w:t>结果维持</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F551CF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5" w:right="-120"/>
              <w:jc w:val="center"/>
            </w:pPr>
            <w:r>
              <w:rPr>
                <w:rFonts w:hint="eastAsia" w:ascii="黑体" w:hAnsi="宋体" w:eastAsia="黑体" w:cs="黑体"/>
                <w:i w:val="0"/>
                <w:iCs w:val="0"/>
                <w:caps w:val="0"/>
                <w:color w:val="000000"/>
                <w:spacing w:val="0"/>
                <w:sz w:val="19"/>
                <w:szCs w:val="19"/>
              </w:rPr>
              <w:t>结果</w:t>
            </w:r>
          </w:p>
          <w:p w14:paraId="67198D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35" w:right="-120"/>
              <w:jc w:val="center"/>
            </w:pPr>
            <w:r>
              <w:rPr>
                <w:rFonts w:hint="eastAsia" w:ascii="黑体" w:hAnsi="宋体" w:eastAsia="黑体" w:cs="黑体"/>
                <w:i w:val="0"/>
                <w:iCs w:val="0"/>
                <w:caps w:val="0"/>
                <w:color w:val="000000"/>
                <w:spacing w:val="0"/>
                <w:sz w:val="19"/>
                <w:szCs w:val="19"/>
              </w:rPr>
              <w:t>纠正</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2F78A3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0" w:right="-135" w:firstLine="0"/>
              <w:jc w:val="center"/>
            </w:pPr>
            <w:r>
              <w:rPr>
                <w:rFonts w:hint="eastAsia" w:ascii="黑体" w:hAnsi="宋体" w:eastAsia="黑体" w:cs="黑体"/>
                <w:i w:val="0"/>
                <w:iCs w:val="0"/>
                <w:caps w:val="0"/>
                <w:color w:val="000000"/>
                <w:spacing w:val="0"/>
                <w:sz w:val="19"/>
                <w:szCs w:val="19"/>
              </w:rPr>
              <w:t>其他</w:t>
            </w:r>
          </w:p>
          <w:p w14:paraId="4073AD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180" w:right="-135" w:firstLine="0"/>
              <w:jc w:val="center"/>
            </w:pPr>
            <w:r>
              <w:rPr>
                <w:rFonts w:hint="eastAsia" w:ascii="黑体" w:hAnsi="宋体" w:eastAsia="黑体" w:cs="黑体"/>
                <w:i w:val="0"/>
                <w:iCs w:val="0"/>
                <w:caps w:val="0"/>
                <w:color w:val="000000"/>
                <w:spacing w:val="0"/>
                <w:sz w:val="19"/>
                <w:szCs w:val="19"/>
              </w:rPr>
              <w:t>结果</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6BF8C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60" w:right="-105" w:firstLine="0"/>
              <w:jc w:val="center"/>
            </w:pPr>
            <w:r>
              <w:rPr>
                <w:rFonts w:hint="eastAsia" w:ascii="黑体" w:hAnsi="宋体" w:eastAsia="黑体" w:cs="黑体"/>
                <w:i w:val="0"/>
                <w:iCs w:val="0"/>
                <w:caps w:val="0"/>
                <w:color w:val="000000"/>
                <w:spacing w:val="0"/>
                <w:sz w:val="19"/>
                <w:szCs w:val="19"/>
              </w:rPr>
              <w:t>尚未审结</w:t>
            </w:r>
          </w:p>
        </w:tc>
        <w:tc>
          <w:tcPr>
            <w:tcW w:w="600"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B9A57F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pPr>
            <w:r>
              <w:rPr>
                <w:rFonts w:hint="eastAsia" w:ascii="黑体" w:hAnsi="宋体" w:eastAsia="黑体" w:cs="黑体"/>
                <w:i w:val="0"/>
                <w:iCs w:val="0"/>
                <w:caps w:val="0"/>
                <w:color w:val="000000"/>
                <w:spacing w:val="0"/>
                <w:sz w:val="19"/>
                <w:szCs w:val="19"/>
              </w:rPr>
              <w:t>总计</w:t>
            </w:r>
          </w:p>
        </w:tc>
      </w:tr>
      <w:tr w14:paraId="7FD9C23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600"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7FF9D9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E2200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2531FC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6AB64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6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23D6ACA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555"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D2711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C0C068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176D569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078E3D6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43D2E5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49721C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64DA61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CBCF7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F8B39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c>
          <w:tcPr>
            <w:tcW w:w="600" w:type="dxa"/>
            <w:tcBorders>
              <w:top w:val="nil"/>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098E278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80" w:afterAutospacing="0" w:line="315" w:lineRule="atLeast"/>
              <w:ind w:left="0" w:right="0"/>
              <w:jc w:val="center"/>
            </w:pPr>
            <w:r>
              <w:rPr>
                <w:rFonts w:hint="default" w:ascii="Times New Roman" w:hAnsi="Times New Roman" w:eastAsia="宋体" w:cs="Times New Roman"/>
                <w:i w:val="0"/>
                <w:iCs w:val="0"/>
                <w:caps w:val="0"/>
                <w:color w:val="000000"/>
                <w:spacing w:val="0"/>
                <w:sz w:val="21"/>
                <w:szCs w:val="21"/>
              </w:rPr>
              <w:t>0</w:t>
            </w:r>
          </w:p>
        </w:tc>
      </w:tr>
    </w:tbl>
    <w:p w14:paraId="0554A06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0"/>
        <w:jc w:val="both"/>
        <w:textAlignment w:val="auto"/>
        <w:rPr>
          <w:rFonts w:hint="default" w:ascii="sans-serif" w:hAnsi="sans-serif" w:eastAsia="sans-serif" w:cs="sans-serif"/>
          <w:i w:val="0"/>
          <w:iCs w:val="0"/>
          <w:caps w:val="0"/>
          <w:color w:val="000000"/>
          <w:spacing w:val="0"/>
          <w:sz w:val="32"/>
          <w:szCs w:val="32"/>
        </w:rPr>
      </w:pPr>
      <w:r>
        <w:rPr>
          <w:rFonts w:hint="eastAsia" w:ascii="黑体" w:hAnsi="宋体" w:eastAsia="黑体" w:cs="黑体"/>
          <w:i w:val="0"/>
          <w:iCs w:val="0"/>
          <w:caps w:val="0"/>
          <w:color w:val="333333"/>
          <w:spacing w:val="0"/>
          <w:sz w:val="32"/>
          <w:szCs w:val="32"/>
          <w:shd w:val="clear" w:fill="FFFFFF"/>
        </w:rPr>
        <w:t>    五、存在的主要问题及改进情况</w:t>
      </w:r>
    </w:p>
    <w:p w14:paraId="7DCBFA1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634"/>
        <w:jc w:val="both"/>
        <w:textAlignment w:val="auto"/>
        <w:rPr>
          <w:rFonts w:hint="default" w:ascii="仿宋_GB2312" w:eastAsia="仿宋_GB2312"/>
          <w:sz w:val="32"/>
          <w:szCs w:val="32"/>
        </w:rPr>
      </w:pPr>
      <w:r>
        <w:rPr>
          <w:rFonts w:hint="eastAsia" w:ascii="仿宋_GB2312" w:eastAsia="仿宋_GB2312"/>
          <w:sz w:val="32"/>
          <w:szCs w:val="32"/>
          <w:lang w:val="en-US" w:eastAsia="zh-CN"/>
        </w:rPr>
        <w:t>今年以来，在市政府政务公开办公室的指导下，</w:t>
      </w:r>
      <w:r>
        <w:rPr>
          <w:rFonts w:hint="eastAsia" w:ascii="仿宋_GB2312" w:eastAsia="仿宋_GB2312"/>
          <w:sz w:val="32"/>
          <w:szCs w:val="32"/>
        </w:rPr>
        <w:t>湿地管委会</w:t>
      </w:r>
      <w:r>
        <w:rPr>
          <w:rFonts w:hint="eastAsia" w:ascii="仿宋_GB2312" w:eastAsia="仿宋_GB2312"/>
          <w:sz w:val="32"/>
          <w:szCs w:val="32"/>
          <w:lang w:val="en-US" w:eastAsia="zh-CN"/>
        </w:rPr>
        <w:t>较好的完成了</w:t>
      </w:r>
      <w:r>
        <w:rPr>
          <w:rFonts w:hint="eastAsia" w:ascii="仿宋_GB2312" w:eastAsia="仿宋_GB2312"/>
          <w:sz w:val="32"/>
          <w:szCs w:val="32"/>
        </w:rPr>
        <w:t>政府信息公开工作</w:t>
      </w:r>
      <w:r>
        <w:rPr>
          <w:rFonts w:hint="eastAsia" w:ascii="仿宋_GB2312" w:eastAsia="仿宋_GB2312"/>
          <w:sz w:val="32"/>
          <w:szCs w:val="32"/>
          <w:lang w:val="en-US" w:eastAsia="zh-CN"/>
        </w:rPr>
        <w:t>单仍需进一步提升</w:t>
      </w:r>
      <w:r>
        <w:rPr>
          <w:rFonts w:hint="eastAsia" w:ascii="仿宋_GB2312" w:eastAsia="仿宋_GB2312"/>
          <w:sz w:val="32"/>
          <w:szCs w:val="32"/>
          <w:lang w:eastAsia="zh-CN"/>
        </w:rPr>
        <w:t>，</w:t>
      </w:r>
      <w:r>
        <w:rPr>
          <w:rFonts w:hint="eastAsia" w:ascii="仿宋_GB2312" w:eastAsia="仿宋_GB2312"/>
          <w:sz w:val="32"/>
          <w:szCs w:val="32"/>
          <w:lang w:val="en-US" w:eastAsia="zh-CN"/>
        </w:rPr>
        <w:t>但也存在公开形式和内容单一，有时存在更新不及时的问题</w:t>
      </w:r>
      <w:bookmarkStart w:id="10" w:name="_GoBack"/>
      <w:bookmarkEnd w:id="10"/>
      <w:r>
        <w:rPr>
          <w:rFonts w:hint="eastAsia" w:ascii="仿宋_GB2312" w:eastAsia="仿宋_GB2312"/>
          <w:sz w:val="32"/>
          <w:szCs w:val="32"/>
          <w:lang w:val="en-US" w:eastAsia="zh-CN"/>
        </w:rPr>
        <w:t>。</w:t>
      </w:r>
    </w:p>
    <w:p w14:paraId="535FAED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634"/>
        <w:jc w:val="both"/>
        <w:textAlignment w:val="auto"/>
        <w:rPr>
          <w:rFonts w:hint="default" w:ascii="仿宋_GB2312" w:eastAsia="仿宋_GB2312"/>
          <w:sz w:val="32"/>
          <w:szCs w:val="32"/>
        </w:rPr>
      </w:pPr>
      <w:r>
        <w:rPr>
          <w:rFonts w:hint="eastAsia" w:ascii="仿宋_GB2312" w:eastAsia="仿宋_GB2312"/>
          <w:sz w:val="32"/>
          <w:szCs w:val="32"/>
          <w:lang w:val="en-US" w:eastAsia="zh-CN"/>
        </w:rPr>
        <w:t>改进情况：</w:t>
      </w:r>
    </w:p>
    <w:p w14:paraId="6BBEE3A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640" w:firstLineChars="200"/>
        <w:jc w:val="both"/>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cstheme="minorBidi"/>
          <w:kern w:val="0"/>
          <w:sz w:val="32"/>
          <w:szCs w:val="32"/>
          <w:lang w:val="en-US" w:eastAsia="zh-CN" w:bidi="ar"/>
        </w:rPr>
        <w:t>1.</w:t>
      </w:r>
      <w:r>
        <w:rPr>
          <w:rFonts w:hint="eastAsia" w:ascii="仿宋_GB2312" w:eastAsia="仿宋_GB2312" w:hAnsiTheme="minorHAnsi" w:cstheme="minorBidi"/>
          <w:kern w:val="0"/>
          <w:sz w:val="32"/>
          <w:szCs w:val="32"/>
          <w:lang w:val="en-US" w:eastAsia="zh-CN" w:bidi="ar"/>
        </w:rPr>
        <w:t>进一步建立和完善政府信息公开工作制度，落实目标责任制，建立健全各项规章制度，全面规范政府信息公开目录，做到目录内容与站内信息的一致性，规范信息公开流程，及时更新目录内容，方便公众查阅、申请、获取政府信息。</w:t>
      </w:r>
    </w:p>
    <w:p w14:paraId="504DD63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640" w:firstLineChars="200"/>
        <w:jc w:val="both"/>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cstheme="minorBidi"/>
          <w:kern w:val="0"/>
          <w:sz w:val="32"/>
          <w:szCs w:val="32"/>
          <w:lang w:val="en-US" w:eastAsia="zh-CN" w:bidi="ar"/>
        </w:rPr>
        <w:t>2.</w:t>
      </w:r>
      <w:r>
        <w:rPr>
          <w:rFonts w:hint="eastAsia" w:ascii="仿宋_GB2312" w:eastAsia="仿宋_GB2312" w:hAnsiTheme="minorHAnsi" w:cstheme="minorBidi"/>
          <w:kern w:val="0"/>
          <w:sz w:val="32"/>
          <w:szCs w:val="32"/>
          <w:lang w:val="en-US" w:eastAsia="zh-CN" w:bidi="ar"/>
        </w:rPr>
        <w:t>进一步完善政府信息公开内容。按照</w:t>
      </w:r>
      <w:r>
        <w:rPr>
          <w:rFonts w:hint="eastAsia" w:ascii="仿宋_GB2312" w:eastAsia="仿宋_GB2312" w:cstheme="minorBidi"/>
          <w:kern w:val="0"/>
          <w:sz w:val="32"/>
          <w:szCs w:val="32"/>
          <w:lang w:val="en-US" w:eastAsia="zh-CN" w:bidi="ar"/>
        </w:rPr>
        <w:t>“</w:t>
      </w:r>
      <w:r>
        <w:rPr>
          <w:rFonts w:hint="eastAsia" w:ascii="仿宋_GB2312" w:eastAsia="仿宋_GB2312" w:hAnsiTheme="minorHAnsi" w:cstheme="minorBidi"/>
          <w:kern w:val="0"/>
          <w:sz w:val="32"/>
          <w:szCs w:val="32"/>
          <w:lang w:val="en-US" w:eastAsia="zh-CN" w:bidi="ar"/>
        </w:rPr>
        <w:t>以公开为原则，不公开为例外</w:t>
      </w:r>
      <w:r>
        <w:rPr>
          <w:rFonts w:hint="eastAsia" w:ascii="仿宋_GB2312" w:eastAsia="仿宋_GB2312" w:cstheme="minorBidi"/>
          <w:kern w:val="0"/>
          <w:sz w:val="32"/>
          <w:szCs w:val="32"/>
          <w:lang w:val="en-US" w:eastAsia="zh-CN" w:bidi="ar"/>
        </w:rPr>
        <w:t>”</w:t>
      </w:r>
      <w:r>
        <w:rPr>
          <w:rFonts w:hint="eastAsia" w:ascii="仿宋_GB2312" w:eastAsia="仿宋_GB2312" w:hAnsiTheme="minorHAnsi" w:cstheme="minorBidi"/>
          <w:kern w:val="0"/>
          <w:sz w:val="32"/>
          <w:szCs w:val="32"/>
          <w:lang w:val="en-US" w:eastAsia="zh-CN" w:bidi="ar"/>
        </w:rPr>
        <w:t>的总体要求，进一步完善主动公开的政府信息目录。重点做好机构职能、发展规划、动态信息的分类，保证信息内容的完整性。</w:t>
      </w:r>
    </w:p>
    <w:p w14:paraId="64D407F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640" w:firstLineChars="200"/>
        <w:jc w:val="both"/>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cstheme="minorBidi"/>
          <w:kern w:val="0"/>
          <w:sz w:val="32"/>
          <w:szCs w:val="32"/>
          <w:lang w:val="en-US" w:eastAsia="zh-CN" w:bidi="ar"/>
        </w:rPr>
        <w:t>3.</w:t>
      </w:r>
      <w:r>
        <w:rPr>
          <w:rFonts w:hint="eastAsia" w:ascii="仿宋_GB2312" w:eastAsia="仿宋_GB2312" w:hAnsiTheme="minorHAnsi" w:cstheme="minorBidi"/>
          <w:kern w:val="0"/>
          <w:sz w:val="32"/>
          <w:szCs w:val="32"/>
          <w:lang w:val="en-US" w:eastAsia="zh-CN" w:bidi="ar"/>
        </w:rPr>
        <w:t>进一步做好政府信息公开网站建设工作。进一步加强政府网站政府信息公开专栏建设，充分发挥其第一平台的作用，及时更新图片，合理布局网站页面，做到图文并茂，保证页面质量</w:t>
      </w:r>
      <w:r>
        <w:rPr>
          <w:rFonts w:hint="eastAsia" w:ascii="仿宋_GB2312" w:eastAsia="仿宋_GB2312" w:cstheme="minorBidi"/>
          <w:kern w:val="0"/>
          <w:sz w:val="32"/>
          <w:szCs w:val="32"/>
          <w:lang w:val="en-US" w:eastAsia="zh-CN" w:bidi="ar"/>
        </w:rPr>
        <w:t>。</w:t>
      </w:r>
    </w:p>
    <w:p w14:paraId="2D16679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16" w:beforeAutospacing="0" w:after="216" w:afterAutospacing="0" w:line="560" w:lineRule="exact"/>
        <w:ind w:left="0" w:firstLine="0"/>
        <w:jc w:val="both"/>
        <w:textAlignment w:val="auto"/>
        <w:rPr>
          <w:rFonts w:hint="default" w:ascii="sans-serif" w:hAnsi="sans-serif" w:eastAsia="sans-serif" w:cs="sans-serif"/>
          <w:i w:val="0"/>
          <w:iCs w:val="0"/>
          <w:caps w:val="0"/>
          <w:color w:val="000000"/>
          <w:spacing w:val="0"/>
          <w:sz w:val="32"/>
          <w:szCs w:val="32"/>
        </w:rPr>
      </w:pPr>
      <w:r>
        <w:rPr>
          <w:rFonts w:hint="eastAsia" w:ascii="黑体" w:hAnsi="宋体" w:eastAsia="黑体" w:cs="黑体"/>
          <w:i w:val="0"/>
          <w:iCs w:val="0"/>
          <w:caps w:val="0"/>
          <w:color w:val="333333"/>
          <w:spacing w:val="0"/>
          <w:sz w:val="30"/>
          <w:szCs w:val="30"/>
          <w:shd w:val="clear" w:fill="FFFFFF"/>
        </w:rPr>
        <w:t>  </w:t>
      </w:r>
      <w:r>
        <w:rPr>
          <w:rFonts w:hint="eastAsia" w:ascii="黑体" w:hAnsi="宋体" w:eastAsia="黑体" w:cs="黑体"/>
          <w:i w:val="0"/>
          <w:iCs w:val="0"/>
          <w:caps w:val="0"/>
          <w:color w:val="333333"/>
          <w:spacing w:val="0"/>
          <w:sz w:val="32"/>
          <w:szCs w:val="32"/>
          <w:shd w:val="clear" w:fill="FFFFFF"/>
        </w:rPr>
        <w:t>  六、其他需要报告的事项</w:t>
      </w:r>
    </w:p>
    <w:p w14:paraId="4D435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hAnsiTheme="minorHAnsi" w:cstheme="minorBidi"/>
          <w:kern w:val="0"/>
          <w:sz w:val="32"/>
          <w:szCs w:val="32"/>
          <w:lang w:val="en-US" w:eastAsia="zh-CN" w:bidi="ar"/>
        </w:rPr>
        <w:t>1.收取信息处理费情况方面。202</w:t>
      </w:r>
      <w:r>
        <w:rPr>
          <w:rFonts w:hint="eastAsia" w:ascii="仿宋_GB2312" w:eastAsia="仿宋_GB2312" w:cstheme="minorBidi"/>
          <w:kern w:val="0"/>
          <w:sz w:val="32"/>
          <w:szCs w:val="32"/>
          <w:lang w:val="en-US" w:eastAsia="zh-CN" w:bidi="ar"/>
        </w:rPr>
        <w:t>4</w:t>
      </w:r>
      <w:r>
        <w:rPr>
          <w:rFonts w:hint="eastAsia" w:ascii="仿宋_GB2312" w:eastAsia="仿宋_GB2312" w:hAnsiTheme="minorHAnsi" w:cstheme="minorBidi"/>
          <w:kern w:val="0"/>
          <w:sz w:val="32"/>
          <w:szCs w:val="32"/>
          <w:lang w:val="en-US" w:eastAsia="zh-CN" w:bidi="ar"/>
        </w:rPr>
        <w:t>年度，本单位未收取信息处理费。</w:t>
      </w:r>
    </w:p>
    <w:p w14:paraId="6D947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hAnsiTheme="minorHAnsi" w:cstheme="minorBidi"/>
          <w:kern w:val="0"/>
          <w:sz w:val="32"/>
          <w:szCs w:val="32"/>
          <w:lang w:val="en-US" w:eastAsia="zh-CN" w:bidi="ar"/>
        </w:rPr>
        <w:t>2.落实上级年度政务公开工作要点情况。对照《202</w:t>
      </w:r>
      <w:r>
        <w:rPr>
          <w:rFonts w:hint="eastAsia" w:ascii="仿宋_GB2312" w:eastAsia="仿宋_GB2312" w:cstheme="minorBidi"/>
          <w:kern w:val="0"/>
          <w:sz w:val="32"/>
          <w:szCs w:val="32"/>
          <w:lang w:val="en-US" w:eastAsia="zh-CN" w:bidi="ar"/>
        </w:rPr>
        <w:t>4</w:t>
      </w:r>
      <w:r>
        <w:rPr>
          <w:rFonts w:hint="eastAsia" w:ascii="仿宋_GB2312" w:eastAsia="仿宋_GB2312" w:hAnsiTheme="minorHAnsi" w:cstheme="minorBidi"/>
          <w:kern w:val="0"/>
          <w:sz w:val="32"/>
          <w:szCs w:val="32"/>
          <w:lang w:val="en-US" w:eastAsia="zh-CN" w:bidi="ar"/>
        </w:rPr>
        <w:t>年滕州市政务公开工作要点》，围绕重点领域加大主动公开力度。</w:t>
      </w:r>
    </w:p>
    <w:p w14:paraId="3D6CAD97">
      <w:pPr>
        <w:pStyle w:val="4"/>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both"/>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hAnsiTheme="minorHAnsi" w:cstheme="minorBidi"/>
          <w:kern w:val="0"/>
          <w:sz w:val="32"/>
          <w:szCs w:val="32"/>
          <w:lang w:val="en-US" w:eastAsia="zh-CN" w:bidi="ar"/>
        </w:rPr>
        <w:t>3.人大建议和政协提案办理情况方面。202</w:t>
      </w:r>
      <w:r>
        <w:rPr>
          <w:rFonts w:hint="eastAsia" w:ascii="仿宋_GB2312" w:eastAsia="仿宋_GB2312" w:cstheme="minorBidi"/>
          <w:kern w:val="0"/>
          <w:sz w:val="32"/>
          <w:szCs w:val="32"/>
          <w:lang w:val="en-US" w:eastAsia="zh-CN" w:bidi="ar"/>
        </w:rPr>
        <w:t>4</w:t>
      </w:r>
      <w:r>
        <w:rPr>
          <w:rFonts w:hint="eastAsia" w:ascii="仿宋_GB2312" w:eastAsia="仿宋_GB2312" w:hAnsiTheme="minorHAnsi" w:cstheme="minorBidi"/>
          <w:kern w:val="0"/>
          <w:sz w:val="32"/>
          <w:szCs w:val="32"/>
          <w:lang w:val="en-US" w:eastAsia="zh-CN" w:bidi="ar"/>
        </w:rPr>
        <w:t>年滕州微山湖湿地管委会</w:t>
      </w:r>
      <w:r>
        <w:rPr>
          <w:rFonts w:hint="eastAsia" w:ascii="仿宋_GB2312" w:eastAsia="仿宋_GB2312" w:cstheme="minorBidi"/>
          <w:kern w:val="0"/>
          <w:sz w:val="32"/>
          <w:szCs w:val="32"/>
          <w:lang w:val="en-US" w:eastAsia="zh-CN" w:bidi="ar"/>
        </w:rPr>
        <w:t>共办理</w:t>
      </w:r>
      <w:r>
        <w:rPr>
          <w:rFonts w:hint="eastAsia" w:ascii="仿宋_GB2312" w:eastAsia="仿宋_GB2312" w:hAnsiTheme="minorHAnsi" w:cstheme="minorBidi"/>
          <w:kern w:val="0"/>
          <w:sz w:val="32"/>
          <w:szCs w:val="32"/>
          <w:lang w:val="en-US" w:eastAsia="zh-CN" w:bidi="ar"/>
        </w:rPr>
        <w:t>人大建议和政协提案</w:t>
      </w:r>
      <w:r>
        <w:rPr>
          <w:rFonts w:hint="eastAsia" w:ascii="仿宋_GB2312" w:eastAsia="仿宋_GB2312" w:cstheme="minorBidi"/>
          <w:kern w:val="0"/>
          <w:sz w:val="32"/>
          <w:szCs w:val="32"/>
          <w:lang w:val="en-US" w:eastAsia="zh-CN" w:bidi="ar"/>
        </w:rPr>
        <w:t>2件，全部办理完毕并及时公开</w:t>
      </w:r>
      <w:r>
        <w:rPr>
          <w:rFonts w:hint="eastAsia" w:ascii="仿宋_GB2312" w:eastAsia="仿宋_GB2312" w:hAnsiTheme="minorHAnsi" w:cstheme="minorBidi"/>
          <w:kern w:val="0"/>
          <w:sz w:val="32"/>
          <w:szCs w:val="32"/>
          <w:lang w:val="en-US" w:eastAsia="zh-CN" w:bidi="ar"/>
        </w:rPr>
        <w:t>。</w:t>
      </w:r>
    </w:p>
    <w:p w14:paraId="14FAA1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hAnsiTheme="minorHAnsi" w:cstheme="minorBidi"/>
          <w:kern w:val="0"/>
          <w:sz w:val="32"/>
          <w:szCs w:val="32"/>
          <w:lang w:val="en-US" w:eastAsia="zh-CN" w:bidi="ar"/>
        </w:rPr>
        <w:t>4.本单位政府信息公开工作年度报告数据统计需要说明的事项：无</w:t>
      </w:r>
    </w:p>
    <w:p w14:paraId="3AAA5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kern w:val="0"/>
          <w:sz w:val="32"/>
          <w:szCs w:val="32"/>
          <w:lang w:val="en-US" w:eastAsia="zh-CN" w:bidi="ar"/>
        </w:rPr>
      </w:pPr>
      <w:r>
        <w:rPr>
          <w:rFonts w:hint="eastAsia" w:ascii="仿宋_GB2312" w:eastAsia="仿宋_GB2312" w:hAnsiTheme="minorHAnsi" w:cstheme="minorBidi"/>
          <w:kern w:val="0"/>
          <w:sz w:val="32"/>
          <w:szCs w:val="32"/>
          <w:lang w:val="en-US" w:eastAsia="zh-CN" w:bidi="ar"/>
        </w:rPr>
        <w:t>5.其他有关文件专门要求通过政府信息公开工作年度报告予以报告的事项：无</w:t>
      </w:r>
    </w:p>
    <w:p w14:paraId="5AC0FE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eastAsia="仿宋_GB2312"/>
          <w:sz w:val="32"/>
          <w:szCs w:val="32"/>
        </w:rPr>
        <w:t>本报告的电子版可在“中国滕州网”（http://www.tengzhou.gov.cn/）网站查询和下载。如对报告有任何疑问，请与滕州微山湖湿地管理委员会</w:t>
      </w:r>
      <w:r>
        <w:rPr>
          <w:rFonts w:hint="eastAsia" w:ascii="仿宋_GB2312" w:eastAsia="仿宋_GB2312"/>
          <w:sz w:val="32"/>
          <w:szCs w:val="32"/>
          <w:lang w:val="en-US" w:eastAsia="zh-CN"/>
        </w:rPr>
        <w:t>综合</w:t>
      </w:r>
      <w:r>
        <w:rPr>
          <w:rFonts w:hint="eastAsia" w:ascii="仿宋_GB2312" w:eastAsia="仿宋_GB2312"/>
          <w:sz w:val="32"/>
          <w:szCs w:val="32"/>
        </w:rPr>
        <w:t>室联系（地址：滕州滨湖镇红荷湿地景区；邮编：2775</w:t>
      </w:r>
      <w:r>
        <w:rPr>
          <w:rFonts w:hint="eastAsia" w:ascii="仿宋_GB2312" w:eastAsia="仿宋_GB2312"/>
          <w:sz w:val="32"/>
          <w:szCs w:val="32"/>
          <w:lang w:val="en-US" w:eastAsia="zh-CN"/>
        </w:rPr>
        <w:t>17</w:t>
      </w:r>
      <w:r>
        <w:rPr>
          <w:rFonts w:hint="eastAsia" w:ascii="仿宋_GB2312" w:eastAsia="仿宋_GB2312"/>
          <w:sz w:val="32"/>
          <w:szCs w:val="32"/>
        </w:rPr>
        <w:t>；电话：0632-2610567）。</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19F015-BD63-418E-8406-64ED14334E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FA2091-826E-4C02-87DF-80C1C6212B2B}"/>
  </w:font>
  <w:font w:name="sans-serif">
    <w:altName w:val="Segoe Print"/>
    <w:panose1 w:val="00000000000000000000"/>
    <w:charset w:val="00"/>
    <w:family w:val="auto"/>
    <w:pitch w:val="default"/>
    <w:sig w:usb0="00000000" w:usb1="00000000" w:usb2="00000000" w:usb3="00000000" w:csb0="00000000" w:csb1="00000000"/>
    <w:embedRegular r:id="rId3" w:fontKey="{35213E5C-B095-4361-8829-985606996D14}"/>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4" w:fontKey="{9FC1A3A4-9F37-4375-A8C7-D8176DCE19A9}"/>
  </w:font>
  <w:font w:name="仿宋_GB2312">
    <w:panose1 w:val="02010609030101010101"/>
    <w:charset w:val="86"/>
    <w:family w:val="auto"/>
    <w:pitch w:val="default"/>
    <w:sig w:usb0="00000001" w:usb1="080E0000" w:usb2="00000000" w:usb3="00000000" w:csb0="00040000" w:csb1="00000000"/>
    <w:embedRegular r:id="rId5" w:fontKey="{C221B68B-473D-4259-9E49-89C818555314}"/>
  </w:font>
  <w:font w:name="楷体">
    <w:panose1 w:val="02010609060101010101"/>
    <w:charset w:val="86"/>
    <w:family w:val="auto"/>
    <w:pitch w:val="default"/>
    <w:sig w:usb0="800002BF" w:usb1="38CF7CFA" w:usb2="00000016" w:usb3="00000000" w:csb0="00040001" w:csb1="00000000"/>
    <w:embedRegular r:id="rId6" w:fontKey="{5157A4BD-41DF-450F-9E61-CD9176FF1FB6}"/>
  </w:font>
  <w:font w:name="楷体_GB2312">
    <w:panose1 w:val="02010609030101010101"/>
    <w:charset w:val="86"/>
    <w:family w:val="auto"/>
    <w:pitch w:val="default"/>
    <w:sig w:usb0="00000001" w:usb1="080E0000" w:usb2="00000000" w:usb3="00000000" w:csb0="00040000" w:csb1="00000000"/>
    <w:embedRegular r:id="rId7" w:fontKey="{9618CEB2-BFF1-463A-B806-704863F9B0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D26F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E734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CE734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yN2ZlZTM4MmZjYmViMjcxYTVkNGJlZTdiYzJlNDYifQ=="/>
  </w:docVars>
  <w:rsids>
    <w:rsidRoot w:val="00000000"/>
    <w:rsid w:val="053F4A47"/>
    <w:rsid w:val="06BD240B"/>
    <w:rsid w:val="0711331A"/>
    <w:rsid w:val="11032FA4"/>
    <w:rsid w:val="1211034C"/>
    <w:rsid w:val="147B7201"/>
    <w:rsid w:val="17691CAE"/>
    <w:rsid w:val="1EE9603D"/>
    <w:rsid w:val="299170F6"/>
    <w:rsid w:val="3696644B"/>
    <w:rsid w:val="3CEA6C43"/>
    <w:rsid w:val="41C45CB4"/>
    <w:rsid w:val="48161336"/>
    <w:rsid w:val="49F72295"/>
    <w:rsid w:val="4EFB2562"/>
    <w:rsid w:val="56ED7A5E"/>
    <w:rsid w:val="5CBC0EA9"/>
    <w:rsid w:val="65501489"/>
    <w:rsid w:val="667E3DD4"/>
    <w:rsid w:val="67BD3DDC"/>
    <w:rsid w:val="72794F8B"/>
    <w:rsid w:val="75CA6AF5"/>
    <w:rsid w:val="79B453A0"/>
    <w:rsid w:val="7A6B7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政务信息公开（官方网站）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通知公告</c:v>
                </c:pt>
                <c:pt idx="1">
                  <c:v>重大民生信息</c:v>
                </c:pt>
                <c:pt idx="2">
                  <c:v>组织管理</c:v>
                </c:pt>
                <c:pt idx="3">
                  <c:v>建议提案</c:v>
                </c:pt>
              </c:strCache>
            </c:strRef>
          </c:cat>
          <c:val>
            <c:numRef>
              <c:f>Sheet1!$B$2:$B$5</c:f>
              <c:numCache>
                <c:formatCode>General</c:formatCode>
                <c:ptCount val="4"/>
                <c:pt idx="0">
                  <c:v>4</c:v>
                </c:pt>
                <c:pt idx="1">
                  <c:v>4</c:v>
                </c:pt>
                <c:pt idx="2">
                  <c:v>6</c:v>
                </c:pt>
                <c:pt idx="3">
                  <c:v>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bdadfe-ace9-4c73-b2f8-7e9aaa6384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1997</Words>
  <Characters>2075</Characters>
  <Lines>0</Lines>
  <Paragraphs>0</Paragraphs>
  <TotalTime>24</TotalTime>
  <ScaleCrop>false</ScaleCrop>
  <LinksUpToDate>false</LinksUpToDate>
  <CharactersWithSpaces>2075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2023-01-12T02:37:00Z</dcterms:created>
  <dc:creator>Administrator</dc:creator>
  <cp:lastModifiedBy>木箫</cp:lastModifiedBy>
  <dcterms:modified xsi:type="dcterms:W3CDTF">2025-01-24T03:29:21Z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F9FFEE2205D04BFBAACFFF30A498CB60</vt:lpwstr>
  </property>
  <property fmtid="{D5CDD505-2E9C-101B-9397-08002B2CF9AE}" pid="4" name="KSOTemplateDocerSaveRecord">
    <vt:lpwstr>eyJoZGlkIjoiOTYzNjgwNTVhNTVjMzZhM2RiODBlYzc3YzNhN2E4MTgiLCJ1c2VySWQiOiIzMDQxNTA4MTkifQ==</vt:lpwstr>
  </property>
</Properties>
</file>