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C2687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right="0" w:firstLine="0"/>
        <w:jc w:val="center"/>
        <w:textAlignment w:val="auto"/>
        <w:rPr>
          <w:rFonts w:hint="eastAsia" w:ascii="方正小标宋简体" w:hAnsi="方正小标宋简体" w:eastAsia="方正小标宋简体" w:cs="方正小标宋简体"/>
          <w:spacing w:val="0"/>
          <w:sz w:val="44"/>
          <w:szCs w:val="44"/>
        </w:rPr>
      </w:pPr>
    </w:p>
    <w:p w14:paraId="23680F0A">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right="0" w:firstLine="0"/>
        <w:jc w:val="center"/>
        <w:textAlignment w:val="auto"/>
        <w:rPr>
          <w:rFonts w:hint="eastAsia"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spacing w:val="0"/>
          <w:sz w:val="44"/>
          <w:szCs w:val="44"/>
        </w:rPr>
        <w:t>滕州市商务和投资促进局</w:t>
      </w:r>
    </w:p>
    <w:p w14:paraId="0BD97AF4">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right="0" w:firstLine="0"/>
        <w:jc w:val="center"/>
        <w:textAlignment w:val="auto"/>
        <w:rPr>
          <w:rFonts w:hint="eastAsia" w:ascii="方正小标宋简体" w:hAnsi="方正小标宋简体" w:eastAsia="方正小标宋简体" w:cs="方正小标宋简体"/>
          <w:spacing w:val="0"/>
          <w:sz w:val="44"/>
          <w:szCs w:val="44"/>
        </w:rPr>
      </w:pPr>
      <w:r>
        <w:rPr>
          <w:rFonts w:hint="eastAsia" w:ascii="方正小标宋简体" w:hAnsi="方正小标宋简体" w:eastAsia="方正小标宋简体" w:cs="方正小标宋简体"/>
          <w:spacing w:val="0"/>
          <w:sz w:val="44"/>
          <w:szCs w:val="44"/>
        </w:rPr>
        <w:t>202</w:t>
      </w:r>
      <w:r>
        <w:rPr>
          <w:rFonts w:hint="eastAsia" w:ascii="方正小标宋简体" w:hAnsi="方正小标宋简体" w:eastAsia="方正小标宋简体" w:cs="方正小标宋简体"/>
          <w:spacing w:val="0"/>
          <w:sz w:val="44"/>
          <w:szCs w:val="44"/>
          <w:lang w:val="en-US" w:eastAsia="zh-CN"/>
        </w:rPr>
        <w:t>4</w:t>
      </w:r>
      <w:r>
        <w:rPr>
          <w:rFonts w:hint="eastAsia" w:ascii="方正小标宋简体" w:hAnsi="方正小标宋简体" w:eastAsia="方正小标宋简体" w:cs="方正小标宋简体"/>
          <w:spacing w:val="0"/>
          <w:sz w:val="44"/>
          <w:szCs w:val="44"/>
        </w:rPr>
        <w:t>年政府信息公开年度报告</w:t>
      </w:r>
    </w:p>
    <w:p w14:paraId="2DC46464">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right="0" w:firstLine="516"/>
        <w:textAlignment w:val="auto"/>
        <w:rPr>
          <w:rFonts w:ascii="仿宋_GB2312" w:eastAsia="仿宋_GB2312" w:cs="仿宋_GB2312"/>
          <w:spacing w:val="0"/>
          <w:sz w:val="25"/>
          <w:szCs w:val="25"/>
        </w:rPr>
      </w:pPr>
    </w:p>
    <w:p w14:paraId="48D82FC5">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根据《中华人民共和国政府信息公开条例》</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以下简称“条例”</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和省政府办公厅、枣庄市政府办公室、滕州市政府办公室通知要求，特编制滕州市商务和投资促进局</w:t>
      </w:r>
      <w:r>
        <w:rPr>
          <w:rFonts w:hint="eastAsia" w:ascii="仿宋_GB2312" w:hAnsi="仿宋_GB2312" w:eastAsia="仿宋_GB2312" w:cs="仿宋_GB2312"/>
          <w:spacing w:val="0"/>
          <w:sz w:val="32"/>
          <w:szCs w:val="32"/>
          <w:lang w:eastAsia="zh-CN"/>
        </w:rPr>
        <w:t>2024年</w:t>
      </w:r>
      <w:r>
        <w:rPr>
          <w:rFonts w:hint="eastAsia" w:ascii="仿宋_GB2312" w:hAnsi="仿宋_GB2312" w:eastAsia="仿宋_GB2312" w:cs="仿宋_GB2312"/>
          <w:spacing w:val="0"/>
          <w:sz w:val="32"/>
          <w:szCs w:val="32"/>
        </w:rPr>
        <w:t>政府信息公开年度报告并向社会公布。本报告中所列数据的统计期限自</w:t>
      </w:r>
      <w:r>
        <w:rPr>
          <w:rFonts w:hint="eastAsia" w:ascii="仿宋_GB2312" w:hAnsi="仿宋_GB2312" w:eastAsia="仿宋_GB2312" w:cs="仿宋_GB2312"/>
          <w:spacing w:val="0"/>
          <w:sz w:val="32"/>
          <w:szCs w:val="32"/>
          <w:lang w:eastAsia="zh-CN"/>
        </w:rPr>
        <w:t>2024年</w:t>
      </w:r>
      <w:r>
        <w:rPr>
          <w:rFonts w:hint="eastAsia" w:ascii="仿宋_GB2312" w:hAnsi="仿宋_GB2312" w:eastAsia="仿宋_GB2312" w:cs="仿宋_GB2312"/>
          <w:spacing w:val="0"/>
          <w:sz w:val="32"/>
          <w:szCs w:val="32"/>
        </w:rPr>
        <w:t>1月1日起至</w:t>
      </w:r>
      <w:r>
        <w:rPr>
          <w:rFonts w:hint="eastAsia" w:ascii="仿宋_GB2312" w:hAnsi="仿宋_GB2312" w:eastAsia="仿宋_GB2312" w:cs="仿宋_GB2312"/>
          <w:spacing w:val="0"/>
          <w:sz w:val="32"/>
          <w:szCs w:val="32"/>
          <w:lang w:eastAsia="zh-CN"/>
        </w:rPr>
        <w:t>2024年</w:t>
      </w:r>
      <w:r>
        <w:rPr>
          <w:rFonts w:hint="eastAsia" w:ascii="仿宋_GB2312" w:hAnsi="仿宋_GB2312" w:eastAsia="仿宋_GB2312" w:cs="仿宋_GB2312"/>
          <w:spacing w:val="0"/>
          <w:sz w:val="32"/>
          <w:szCs w:val="32"/>
        </w:rPr>
        <w:t>12月31日止。</w:t>
      </w:r>
    </w:p>
    <w:p w14:paraId="2C947255">
      <w:pPr>
        <w:pStyle w:val="5"/>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600" w:lineRule="exact"/>
        <w:ind w:left="0" w:firstLine="640" w:firstLineChars="200"/>
        <w:jc w:val="both"/>
        <w:textAlignment w:val="auto"/>
        <w:rPr>
          <w:sz w:val="32"/>
          <w:szCs w:val="32"/>
        </w:rPr>
      </w:pPr>
      <w:r>
        <w:rPr>
          <w:rFonts w:ascii="黑体" w:hAnsi="宋体" w:eastAsia="黑体" w:cs="黑体"/>
          <w:sz w:val="32"/>
          <w:szCs w:val="32"/>
        </w:rPr>
        <w:t>一、总体情况</w:t>
      </w:r>
    </w:p>
    <w:p w14:paraId="0EB1B82C">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pacing w:val="0"/>
          <w:sz w:val="32"/>
          <w:szCs w:val="32"/>
          <w:lang w:eastAsia="zh-CN"/>
        </w:rPr>
        <w:t>2024年</w:t>
      </w:r>
      <w:r>
        <w:rPr>
          <w:rFonts w:hint="eastAsia" w:ascii="仿宋_GB2312" w:hAnsi="仿宋_GB2312" w:eastAsia="仿宋_GB2312" w:cs="仿宋_GB2312"/>
          <w:spacing w:val="0"/>
          <w:sz w:val="32"/>
          <w:szCs w:val="32"/>
        </w:rPr>
        <w:t>以来，滕州市商务和投资促进局深入贯彻落实《条例》和相关规定，紧紧围绕上级关于全面深化政务公开的有关部署，准确把握新时代政务公开工作的职责定位和面临的新形势，加强组织领导，明确责任分工，细化分解任务，加大督导力度，坚持“以公开为常态、不公开为例外”原则，全面提升政务公开质量和实效，力促让公开成为自觉，让透明成为常态。全局上下政</w:t>
      </w:r>
      <w:r>
        <w:rPr>
          <w:rFonts w:hint="eastAsia" w:ascii="仿宋_GB2312" w:hAnsi="仿宋_GB2312" w:eastAsia="仿宋_GB2312" w:cs="仿宋_GB2312"/>
          <w:spacing w:val="0"/>
          <w:sz w:val="32"/>
          <w:szCs w:val="32"/>
          <w:highlight w:val="none"/>
        </w:rPr>
        <w:t>府信息公开工作的积极性、主动性不断提高，政府工作透明度进一步增强，有效地保障了公民的知情权，努力打造法治政府、创新政府、廉洁政府和服务型政府。</w:t>
      </w:r>
    </w:p>
    <w:p w14:paraId="5CDB2829">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pacing w:val="0"/>
          <w:sz w:val="32"/>
          <w:szCs w:val="32"/>
          <w:highlight w:val="none"/>
        </w:rPr>
        <w:t>1.主动公开。</w:t>
      </w:r>
      <w:r>
        <w:rPr>
          <w:rFonts w:hint="eastAsia" w:ascii="仿宋_GB2312" w:hAnsi="仿宋_GB2312" w:eastAsia="仿宋_GB2312" w:cs="仿宋_GB2312"/>
          <w:spacing w:val="0"/>
          <w:sz w:val="32"/>
          <w:szCs w:val="32"/>
          <w:highlight w:val="none"/>
        </w:rPr>
        <w:t>通过滕州市政府信息公开主动公开信息</w:t>
      </w:r>
      <w:r>
        <w:rPr>
          <w:rFonts w:hint="eastAsia" w:ascii="仿宋_GB2312" w:hAnsi="仿宋_GB2312" w:eastAsia="仿宋_GB2312" w:cs="仿宋_GB2312"/>
          <w:spacing w:val="0"/>
          <w:sz w:val="32"/>
          <w:szCs w:val="32"/>
          <w:highlight w:val="none"/>
          <w:lang w:val="en-US" w:eastAsia="zh-CN"/>
        </w:rPr>
        <w:t>75</w:t>
      </w:r>
      <w:r>
        <w:rPr>
          <w:rFonts w:hint="eastAsia" w:ascii="仿宋_GB2312" w:hAnsi="仿宋_GB2312" w:eastAsia="仿宋_GB2312" w:cs="仿宋_GB2312"/>
          <w:spacing w:val="0"/>
          <w:sz w:val="32"/>
          <w:szCs w:val="32"/>
          <w:highlight w:val="none"/>
        </w:rPr>
        <w:t>条，其中通知公告</w:t>
      </w:r>
      <w:r>
        <w:rPr>
          <w:rFonts w:hint="eastAsia" w:ascii="仿宋_GB2312" w:hAnsi="仿宋_GB2312" w:eastAsia="仿宋_GB2312" w:cs="仿宋_GB2312"/>
          <w:spacing w:val="0"/>
          <w:sz w:val="32"/>
          <w:szCs w:val="32"/>
          <w:highlight w:val="none"/>
          <w:lang w:val="en-US" w:eastAsia="zh-CN"/>
        </w:rPr>
        <w:t>7</w:t>
      </w:r>
      <w:r>
        <w:rPr>
          <w:rFonts w:hint="eastAsia" w:ascii="仿宋_GB2312" w:hAnsi="仿宋_GB2312" w:eastAsia="仿宋_GB2312" w:cs="仿宋_GB2312"/>
          <w:spacing w:val="0"/>
          <w:sz w:val="32"/>
          <w:szCs w:val="32"/>
          <w:highlight w:val="none"/>
        </w:rPr>
        <w:t>条，占总数的</w:t>
      </w:r>
      <w:r>
        <w:rPr>
          <w:rFonts w:hint="eastAsia" w:ascii="仿宋_GB2312" w:hAnsi="仿宋_GB2312" w:eastAsia="仿宋_GB2312" w:cs="仿宋_GB2312"/>
          <w:spacing w:val="0"/>
          <w:sz w:val="32"/>
          <w:szCs w:val="32"/>
          <w:highlight w:val="none"/>
          <w:lang w:val="en-US" w:eastAsia="zh-CN"/>
        </w:rPr>
        <w:t>10</w:t>
      </w:r>
      <w:r>
        <w:rPr>
          <w:rFonts w:hint="eastAsia" w:ascii="仿宋_GB2312" w:hAnsi="仿宋_GB2312" w:eastAsia="仿宋_GB2312" w:cs="仿宋_GB2312"/>
          <w:spacing w:val="0"/>
          <w:sz w:val="32"/>
          <w:szCs w:val="32"/>
          <w:highlight w:val="none"/>
        </w:rPr>
        <w:t>%；规划计划信息1条，占总数的</w:t>
      </w:r>
      <w:r>
        <w:rPr>
          <w:rFonts w:hint="eastAsia" w:ascii="仿宋_GB2312" w:hAnsi="仿宋_GB2312" w:eastAsia="仿宋_GB2312" w:cs="仿宋_GB2312"/>
          <w:spacing w:val="0"/>
          <w:sz w:val="32"/>
          <w:szCs w:val="32"/>
          <w:highlight w:val="none"/>
          <w:lang w:val="en-US" w:eastAsia="zh-CN"/>
        </w:rPr>
        <w:t>1</w:t>
      </w:r>
      <w:r>
        <w:rPr>
          <w:rFonts w:hint="eastAsia" w:ascii="仿宋_GB2312" w:hAnsi="仿宋_GB2312" w:eastAsia="仿宋_GB2312" w:cs="仿宋_GB2312"/>
          <w:spacing w:val="0"/>
          <w:sz w:val="32"/>
          <w:szCs w:val="32"/>
          <w:highlight w:val="none"/>
        </w:rPr>
        <w:t>%；财政信息4条，占总数的</w:t>
      </w:r>
      <w:r>
        <w:rPr>
          <w:rFonts w:hint="eastAsia" w:ascii="仿宋_GB2312" w:hAnsi="仿宋_GB2312" w:eastAsia="仿宋_GB2312" w:cs="仿宋_GB2312"/>
          <w:spacing w:val="0"/>
          <w:sz w:val="32"/>
          <w:szCs w:val="32"/>
          <w:highlight w:val="none"/>
          <w:lang w:val="en-US" w:eastAsia="zh-CN"/>
        </w:rPr>
        <w:t>5</w:t>
      </w:r>
      <w:r>
        <w:rPr>
          <w:rFonts w:hint="eastAsia" w:ascii="仿宋_GB2312" w:hAnsi="仿宋_GB2312" w:eastAsia="仿宋_GB2312" w:cs="仿宋_GB2312"/>
          <w:spacing w:val="0"/>
          <w:sz w:val="32"/>
          <w:szCs w:val="32"/>
          <w:highlight w:val="none"/>
        </w:rPr>
        <w:t>%；行政权力信息2条，占总数的</w:t>
      </w:r>
      <w:r>
        <w:rPr>
          <w:rFonts w:hint="eastAsia" w:ascii="仿宋_GB2312" w:hAnsi="仿宋_GB2312" w:eastAsia="仿宋_GB2312" w:cs="仿宋_GB2312"/>
          <w:spacing w:val="0"/>
          <w:sz w:val="32"/>
          <w:szCs w:val="32"/>
          <w:highlight w:val="none"/>
          <w:lang w:val="en-US" w:eastAsia="zh-CN"/>
        </w:rPr>
        <w:t>3</w:t>
      </w:r>
      <w:r>
        <w:rPr>
          <w:rFonts w:hint="eastAsia" w:ascii="仿宋_GB2312" w:hAnsi="仿宋_GB2312" w:eastAsia="仿宋_GB2312" w:cs="仿宋_GB2312"/>
          <w:spacing w:val="0"/>
          <w:sz w:val="32"/>
          <w:szCs w:val="32"/>
          <w:highlight w:val="none"/>
        </w:rPr>
        <w:t>%；建议提案信息</w:t>
      </w:r>
      <w:r>
        <w:rPr>
          <w:rFonts w:hint="eastAsia" w:ascii="仿宋_GB2312" w:hAnsi="仿宋_GB2312" w:eastAsia="仿宋_GB2312" w:cs="仿宋_GB2312"/>
          <w:spacing w:val="0"/>
          <w:sz w:val="32"/>
          <w:szCs w:val="32"/>
          <w:highlight w:val="none"/>
          <w:lang w:val="en-US" w:eastAsia="zh-CN"/>
        </w:rPr>
        <w:t>36</w:t>
      </w:r>
      <w:r>
        <w:rPr>
          <w:rFonts w:hint="eastAsia" w:ascii="仿宋_GB2312" w:hAnsi="仿宋_GB2312" w:eastAsia="仿宋_GB2312" w:cs="仿宋_GB2312"/>
          <w:spacing w:val="0"/>
          <w:sz w:val="32"/>
          <w:szCs w:val="32"/>
          <w:highlight w:val="none"/>
        </w:rPr>
        <w:t>条，占总数的</w:t>
      </w:r>
      <w:r>
        <w:rPr>
          <w:rFonts w:hint="eastAsia" w:ascii="仿宋_GB2312" w:hAnsi="仿宋_GB2312" w:eastAsia="仿宋_GB2312" w:cs="仿宋_GB2312"/>
          <w:spacing w:val="0"/>
          <w:sz w:val="32"/>
          <w:szCs w:val="32"/>
          <w:highlight w:val="none"/>
          <w:lang w:val="en-US" w:eastAsia="zh-CN"/>
        </w:rPr>
        <w:t>49</w:t>
      </w:r>
      <w:r>
        <w:rPr>
          <w:rFonts w:hint="eastAsia" w:ascii="仿宋_GB2312" w:hAnsi="仿宋_GB2312" w:eastAsia="仿宋_GB2312" w:cs="仿宋_GB2312"/>
          <w:spacing w:val="0"/>
          <w:sz w:val="32"/>
          <w:szCs w:val="32"/>
          <w:highlight w:val="none"/>
        </w:rPr>
        <w:t>%；重</w:t>
      </w:r>
      <w:r>
        <w:rPr>
          <w:rFonts w:hint="eastAsia" w:ascii="仿宋_GB2312" w:hAnsi="仿宋_GB2312" w:eastAsia="仿宋_GB2312" w:cs="仿宋_GB2312"/>
          <w:spacing w:val="0"/>
          <w:sz w:val="32"/>
          <w:szCs w:val="32"/>
          <w:highlight w:val="none"/>
          <w:lang w:val="en-US" w:eastAsia="zh-CN"/>
        </w:rPr>
        <w:t>大民生</w:t>
      </w:r>
      <w:r>
        <w:rPr>
          <w:rFonts w:hint="eastAsia" w:ascii="仿宋_GB2312" w:hAnsi="仿宋_GB2312" w:eastAsia="仿宋_GB2312" w:cs="仿宋_GB2312"/>
          <w:spacing w:val="0"/>
          <w:sz w:val="32"/>
          <w:szCs w:val="32"/>
          <w:highlight w:val="none"/>
        </w:rPr>
        <w:t>信息</w:t>
      </w:r>
      <w:r>
        <w:rPr>
          <w:rFonts w:hint="eastAsia" w:ascii="仿宋_GB2312" w:hAnsi="仿宋_GB2312" w:eastAsia="仿宋_GB2312" w:cs="仿宋_GB2312"/>
          <w:spacing w:val="0"/>
          <w:sz w:val="32"/>
          <w:szCs w:val="32"/>
          <w:highlight w:val="none"/>
          <w:lang w:val="en-US" w:eastAsia="zh-CN"/>
        </w:rPr>
        <w:t>18</w:t>
      </w:r>
      <w:r>
        <w:rPr>
          <w:rFonts w:hint="eastAsia" w:ascii="仿宋_GB2312" w:hAnsi="仿宋_GB2312" w:eastAsia="仿宋_GB2312" w:cs="仿宋_GB2312"/>
          <w:spacing w:val="0"/>
          <w:sz w:val="32"/>
          <w:szCs w:val="32"/>
          <w:highlight w:val="none"/>
        </w:rPr>
        <w:t>条，占总数的</w:t>
      </w:r>
      <w:r>
        <w:rPr>
          <w:rFonts w:hint="eastAsia" w:ascii="仿宋_GB2312" w:hAnsi="仿宋_GB2312" w:eastAsia="仿宋_GB2312" w:cs="仿宋_GB2312"/>
          <w:spacing w:val="0"/>
          <w:sz w:val="32"/>
          <w:szCs w:val="32"/>
          <w:highlight w:val="none"/>
          <w:lang w:val="en-US" w:eastAsia="zh-CN"/>
        </w:rPr>
        <w:t>24</w:t>
      </w:r>
      <w:r>
        <w:rPr>
          <w:rFonts w:hint="eastAsia" w:ascii="仿宋_GB2312" w:hAnsi="仿宋_GB2312" w:eastAsia="仿宋_GB2312" w:cs="仿宋_GB2312"/>
          <w:spacing w:val="0"/>
          <w:sz w:val="32"/>
          <w:szCs w:val="32"/>
          <w:highlight w:val="none"/>
        </w:rPr>
        <w:t>%；组织管理信息</w:t>
      </w:r>
      <w:r>
        <w:rPr>
          <w:rFonts w:hint="eastAsia" w:ascii="仿宋_GB2312" w:hAnsi="仿宋_GB2312" w:eastAsia="仿宋_GB2312" w:cs="仿宋_GB2312"/>
          <w:spacing w:val="0"/>
          <w:sz w:val="32"/>
          <w:szCs w:val="32"/>
          <w:highlight w:val="none"/>
          <w:lang w:val="en-US" w:eastAsia="zh-CN"/>
        </w:rPr>
        <w:t>7</w:t>
      </w:r>
      <w:r>
        <w:rPr>
          <w:rFonts w:hint="eastAsia" w:ascii="仿宋_GB2312" w:hAnsi="仿宋_GB2312" w:eastAsia="仿宋_GB2312" w:cs="仿宋_GB2312"/>
          <w:spacing w:val="0"/>
          <w:sz w:val="32"/>
          <w:szCs w:val="32"/>
          <w:highlight w:val="none"/>
        </w:rPr>
        <w:t>条，占总数的</w:t>
      </w:r>
      <w:r>
        <w:rPr>
          <w:rFonts w:hint="eastAsia" w:ascii="仿宋_GB2312" w:hAnsi="仿宋_GB2312" w:eastAsia="仿宋_GB2312" w:cs="仿宋_GB2312"/>
          <w:spacing w:val="0"/>
          <w:sz w:val="32"/>
          <w:szCs w:val="32"/>
          <w:highlight w:val="none"/>
          <w:lang w:val="en-US" w:eastAsia="zh-CN"/>
        </w:rPr>
        <w:t>9</w:t>
      </w:r>
      <w:r>
        <w:rPr>
          <w:rFonts w:hint="eastAsia" w:ascii="仿宋_GB2312" w:hAnsi="仿宋_GB2312" w:eastAsia="仿宋_GB2312" w:cs="仿宋_GB2312"/>
          <w:spacing w:val="0"/>
          <w:sz w:val="32"/>
          <w:szCs w:val="32"/>
          <w:highlight w:val="none"/>
        </w:rPr>
        <w:t>%，此外，还通过微信公众号发布</w:t>
      </w:r>
      <w:r>
        <w:rPr>
          <w:rFonts w:hint="eastAsia" w:ascii="仿宋_GB2312" w:hAnsi="仿宋_GB2312" w:eastAsia="仿宋_GB2312" w:cs="仿宋_GB2312"/>
          <w:spacing w:val="0"/>
          <w:sz w:val="32"/>
          <w:szCs w:val="32"/>
          <w:highlight w:val="none"/>
          <w:lang w:val="en-US" w:eastAsia="zh-CN"/>
        </w:rPr>
        <w:t>各类信息600余</w:t>
      </w:r>
      <w:r>
        <w:rPr>
          <w:rFonts w:hint="eastAsia" w:ascii="仿宋_GB2312" w:hAnsi="仿宋_GB2312" w:eastAsia="仿宋_GB2312" w:cs="仿宋_GB2312"/>
          <w:spacing w:val="0"/>
          <w:sz w:val="32"/>
          <w:szCs w:val="32"/>
          <w:highlight w:val="none"/>
        </w:rPr>
        <w:t>条</w:t>
      </w:r>
      <w:r>
        <w:rPr>
          <w:rFonts w:hint="eastAsia" w:ascii="仿宋_GB2312" w:hAnsi="仿宋_GB2312" w:eastAsia="仿宋_GB2312" w:cs="仿宋_GB2312"/>
          <w:spacing w:val="0"/>
          <w:sz w:val="32"/>
          <w:szCs w:val="32"/>
          <w:highlight w:val="none"/>
          <w:lang w:eastAsia="zh-CN"/>
        </w:rPr>
        <w:t>。</w:t>
      </w:r>
    </w:p>
    <w:p w14:paraId="14E8CE7F">
      <w:pPr>
        <w:pStyle w:val="5"/>
        <w:keepNext w:val="0"/>
        <w:keepLines w:val="0"/>
        <w:pageBreakBefore w:val="0"/>
        <w:widowControl w:val="0"/>
        <w:suppressLineNumbers w:val="0"/>
        <w:kinsoku/>
        <w:wordWrap/>
        <w:overflowPunct/>
        <w:topLinePunct w:val="0"/>
        <w:autoSpaceDE/>
        <w:autoSpaceDN/>
        <w:bidi w:val="0"/>
        <w:adjustRightInd/>
        <w:snapToGrid/>
        <w:spacing w:beforeAutospacing="0" w:after="0" w:afterAutospacing="0" w:line="600" w:lineRule="exact"/>
        <w:ind w:firstLine="643" w:firstLineChars="200"/>
        <w:jc w:val="both"/>
        <w:textAlignment w:val="auto"/>
        <w:rPr>
          <w:rFonts w:hint="default" w:ascii="仿宋_GB2312" w:eastAsia="仿宋_GB2312" w:cs="仿宋_GB2312" w:hAnsiTheme="minorHAnsi"/>
          <w:spacing w:val="0"/>
          <w:kern w:val="2"/>
          <w:sz w:val="32"/>
          <w:szCs w:val="28"/>
          <w:lang w:val="en-US" w:eastAsia="zh-CN" w:bidi="ar-SA"/>
        </w:rPr>
      </w:pPr>
      <w:r>
        <w:rPr>
          <w:rFonts w:hint="eastAsia" w:ascii="仿宋_GB2312" w:hAnsi="仿宋_GB2312" w:eastAsia="仿宋_GB2312" w:cs="仿宋_GB2312"/>
          <w:b/>
          <w:bCs/>
          <w:spacing w:val="0"/>
          <w:sz w:val="32"/>
          <w:szCs w:val="32"/>
          <w:highlight w:val="none"/>
        </w:rPr>
        <w:drawing>
          <wp:anchor distT="0" distB="0" distL="114300" distR="114300" simplePos="0" relativeHeight="251660288" behindDoc="0" locked="0" layoutInCell="1" allowOverlap="1">
            <wp:simplePos x="0" y="0"/>
            <wp:positionH relativeFrom="column">
              <wp:posOffset>247650</wp:posOffset>
            </wp:positionH>
            <wp:positionV relativeFrom="paragraph">
              <wp:posOffset>139700</wp:posOffset>
            </wp:positionV>
            <wp:extent cx="4893945" cy="3684905"/>
            <wp:effectExtent l="4445" t="4445" r="8890" b="13970"/>
            <wp:wrapTopAndBottom/>
            <wp:docPr id="1" name="图表 2"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r>
        <w:rPr>
          <w:rFonts w:hint="eastAsia" w:ascii="仿宋_GB2312" w:hAnsi="仿宋_GB2312" w:eastAsia="仿宋_GB2312" w:cs="仿宋_GB2312"/>
          <w:b/>
          <w:bCs/>
          <w:spacing w:val="0"/>
          <w:sz w:val="32"/>
          <w:szCs w:val="32"/>
          <w:highlight w:val="none"/>
        </w:rPr>
        <w:t>2.</w:t>
      </w:r>
      <w:r>
        <w:rPr>
          <w:rFonts w:hint="eastAsia" w:ascii="仿宋_GB2312" w:hAnsi="仿宋_GB2312" w:eastAsia="仿宋_GB2312" w:cs="仿宋_GB2312"/>
          <w:b/>
          <w:bCs/>
          <w:spacing w:val="0"/>
          <w:sz w:val="32"/>
          <w:szCs w:val="32"/>
          <w:highlight w:val="none"/>
          <w:lang w:val="en-US" w:eastAsia="zh-CN"/>
        </w:rPr>
        <w:t>依申请公开。</w:t>
      </w:r>
      <w:r>
        <w:rPr>
          <w:rFonts w:hint="eastAsia" w:ascii="仿宋_GB2312" w:eastAsia="仿宋_GB2312" w:cs="仿宋_GB2312"/>
          <w:spacing w:val="0"/>
          <w:kern w:val="2"/>
          <w:sz w:val="32"/>
          <w:szCs w:val="28"/>
          <w:lang w:val="en-US" w:eastAsia="zh-CN" w:bidi="ar-SA"/>
        </w:rPr>
        <w:t>2024年</w:t>
      </w:r>
      <w:r>
        <w:rPr>
          <w:rFonts w:hint="eastAsia" w:ascii="仿宋_GB2312" w:eastAsia="仿宋_GB2312" w:cs="仿宋_GB2312" w:hAnsiTheme="minorHAnsi"/>
          <w:spacing w:val="0"/>
          <w:kern w:val="2"/>
          <w:sz w:val="32"/>
          <w:szCs w:val="28"/>
          <w:lang w:val="en-US" w:eastAsia="zh-CN" w:bidi="ar-SA"/>
        </w:rPr>
        <w:t>，滕州市商务和投资促进局未收到和处理政府信息公开依申请事项。没有因政府信息公开产生的行政复议和行政诉讼。</w:t>
      </w:r>
    </w:p>
    <w:p w14:paraId="10B259C4">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3" w:firstLineChars="200"/>
        <w:jc w:val="both"/>
        <w:textAlignment w:val="auto"/>
        <w:rPr>
          <w:rFonts w:hint="eastAsia" w:ascii="仿宋_GB2312" w:eastAsia="仿宋_GB2312" w:cs="仿宋_GB2312"/>
          <w:spacing w:val="0"/>
          <w:sz w:val="32"/>
          <w:szCs w:val="28"/>
        </w:rPr>
      </w:pPr>
      <w:r>
        <w:rPr>
          <w:rFonts w:hint="eastAsia" w:ascii="仿宋_GB2312" w:hAnsi="仿宋_GB2312" w:eastAsia="仿宋_GB2312" w:cs="仿宋_GB2312"/>
          <w:b/>
          <w:bCs/>
          <w:spacing w:val="0"/>
          <w:kern w:val="0"/>
          <w:sz w:val="32"/>
          <w:szCs w:val="32"/>
          <w:highlight w:val="none"/>
          <w:lang w:val="en-US" w:eastAsia="zh-CN" w:bidi="ar"/>
        </w:rPr>
        <w:t>3.政府信息管理。</w:t>
      </w:r>
      <w:r>
        <w:rPr>
          <w:rFonts w:hint="eastAsia" w:ascii="仿宋_GB2312" w:eastAsia="仿宋_GB2312" w:cs="仿宋_GB2312" w:hAnsiTheme="minorHAnsi"/>
          <w:spacing w:val="0"/>
          <w:kern w:val="2"/>
          <w:sz w:val="32"/>
          <w:szCs w:val="28"/>
          <w:lang w:val="en-US" w:eastAsia="zh-CN" w:bidi="ar-SA"/>
        </w:rPr>
        <w:t>滕州市商务和投资促进局</w:t>
      </w:r>
      <w:r>
        <w:rPr>
          <w:rFonts w:hint="eastAsia" w:ascii="仿宋_GB2312" w:eastAsia="仿宋_GB2312" w:cs="仿宋_GB2312"/>
          <w:spacing w:val="0"/>
          <w:sz w:val="32"/>
          <w:szCs w:val="28"/>
        </w:rPr>
        <w:t>主要领导为主要负责人，分管领导为分管负责人。各科室依据科室职能，积极主动收集、提报各自业务范围内应公开的政务信息，调研室负责本单位政务公开网站信息的更新与维护。形成“主要领导亲自抓、分管领导具体抓、机关科室合力抓、专人负责抓落实”的工作机制</w:t>
      </w:r>
      <w:r>
        <w:rPr>
          <w:rFonts w:hint="eastAsia" w:ascii="仿宋_GB2312" w:eastAsia="仿宋_GB2312" w:cs="仿宋_GB2312"/>
          <w:spacing w:val="0"/>
          <w:sz w:val="32"/>
          <w:szCs w:val="28"/>
          <w:lang w:eastAsia="zh-CN"/>
        </w:rPr>
        <w:t>。</w:t>
      </w:r>
      <w:r>
        <w:rPr>
          <w:rFonts w:hint="eastAsia" w:ascii="仿宋_GB2312" w:eastAsia="仿宋_GB2312" w:cs="仿宋_GB2312"/>
          <w:spacing w:val="0"/>
          <w:sz w:val="32"/>
          <w:szCs w:val="28"/>
        </w:rPr>
        <w:t>严格执行“谁公开、谁审查、谁负责”“先审查、后公开”“一事一审”等保密审查规定，对拟公开的政府信息，由承办单位提出具体意见，经信息公开操作人员审查后，报信息公开负责领导审批，从源头上落实了保密审查，确保了涉密信息不公开，使政府信息公开工作进一步朝规范化、制度化方向发展，逐步形成长效管理机制。</w:t>
      </w:r>
    </w:p>
    <w:p w14:paraId="4695D6C1">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eastAsia="仿宋_GB2312"/>
          <w:sz w:val="32"/>
          <w:szCs w:val="28"/>
        </w:rPr>
      </w:pPr>
      <w:r>
        <w:rPr>
          <w:rFonts w:hint="eastAsia" w:ascii="仿宋_GB2312" w:hAnsi="仿宋_GB2312" w:eastAsia="仿宋_GB2312" w:cs="仿宋_GB2312"/>
          <w:b/>
          <w:bCs/>
          <w:spacing w:val="0"/>
          <w:sz w:val="32"/>
          <w:szCs w:val="32"/>
          <w:highlight w:val="none"/>
        </w:rPr>
        <w:t>4.政府信息公开平台建设。</w:t>
      </w:r>
      <w:r>
        <w:rPr>
          <w:rFonts w:hint="eastAsia" w:ascii="仿宋_GB2312" w:eastAsia="仿宋_GB2312" w:cs="仿宋_GB2312"/>
          <w:spacing w:val="0"/>
          <w:sz w:val="32"/>
          <w:szCs w:val="28"/>
        </w:rPr>
        <w:t>按照上级对政府信息平台建设工作的要求，完善政府信息公开制度，明确政府信息公开专区，公开政府信息查阅范围、方式和流程。安排专人负责信息公开的编辑、审核与发布。</w:t>
      </w:r>
    </w:p>
    <w:p w14:paraId="66667A74">
      <w:pPr>
        <w:pStyle w:val="5"/>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default" w:ascii="仿宋_GB2312" w:eastAsia="仿宋_GB2312"/>
          <w:sz w:val="32"/>
          <w:szCs w:val="32"/>
        </w:rPr>
      </w:pPr>
      <w:r>
        <w:rPr>
          <w:rFonts w:hint="eastAsia" w:ascii="仿宋_GB2312" w:hAnsi="仿宋_GB2312" w:eastAsia="仿宋_GB2312" w:cs="仿宋_GB2312"/>
          <w:b/>
          <w:bCs/>
          <w:spacing w:val="0"/>
          <w:sz w:val="32"/>
          <w:szCs w:val="32"/>
          <w:highlight w:val="none"/>
        </w:rPr>
        <w:t>5.监督保障。</w:t>
      </w:r>
      <w:r>
        <w:rPr>
          <w:rFonts w:hint="eastAsia" w:ascii="仿宋_GB2312" w:eastAsia="仿宋_GB2312" w:cs="仿宋_GB2312"/>
          <w:spacing w:val="0"/>
          <w:sz w:val="32"/>
          <w:szCs w:val="28"/>
        </w:rPr>
        <w:t>按照滕州市政府办公室工作部署要求，滕州市商务和投资促进局积极做好相关政务公开保障工作。同时按照滕州市政务公开绩效考核指标体系和考核标准细则，参加</w:t>
      </w:r>
      <w:r>
        <w:rPr>
          <w:rFonts w:hint="eastAsia" w:ascii="仿宋_GB2312" w:eastAsia="仿宋_GB2312" w:cs="仿宋_GB2312"/>
          <w:spacing w:val="0"/>
          <w:sz w:val="32"/>
          <w:szCs w:val="28"/>
          <w:lang w:eastAsia="zh-CN"/>
        </w:rPr>
        <w:t>2024年</w:t>
      </w:r>
      <w:r>
        <w:rPr>
          <w:rFonts w:hint="eastAsia" w:ascii="仿宋_GB2312" w:eastAsia="仿宋_GB2312" w:cs="仿宋_GB2312"/>
          <w:spacing w:val="0"/>
          <w:sz w:val="32"/>
          <w:szCs w:val="28"/>
        </w:rPr>
        <w:t>滕州市政务公开考核工作。</w:t>
      </w:r>
      <w:r>
        <w:rPr>
          <w:rFonts w:hint="eastAsia" w:ascii="仿宋_GB2312" w:eastAsia="仿宋_GB2312" w:cs="仿宋_GB2312"/>
          <w:spacing w:val="0"/>
          <w:sz w:val="32"/>
          <w:szCs w:val="28"/>
          <w:lang w:eastAsia="zh-CN"/>
        </w:rPr>
        <w:t>2024年</w:t>
      </w:r>
      <w:r>
        <w:rPr>
          <w:rFonts w:hint="eastAsia" w:ascii="仿宋_GB2312" w:eastAsia="仿宋_GB2312" w:cs="仿宋_GB2312"/>
          <w:spacing w:val="0"/>
          <w:sz w:val="32"/>
          <w:szCs w:val="28"/>
        </w:rPr>
        <w:t>，</w:t>
      </w:r>
      <w:r>
        <w:rPr>
          <w:rFonts w:hint="eastAsia" w:ascii="仿宋_GB2312" w:eastAsia="仿宋_GB2312" w:cs="仿宋_GB2312"/>
          <w:spacing w:val="0"/>
          <w:sz w:val="32"/>
          <w:szCs w:val="28"/>
          <w:lang w:val="en-US" w:eastAsia="zh-CN"/>
        </w:rPr>
        <w:t>本单位</w:t>
      </w:r>
      <w:r>
        <w:rPr>
          <w:rFonts w:hint="eastAsia" w:ascii="仿宋_GB2312" w:eastAsia="仿宋_GB2312" w:cs="仿宋_GB2312"/>
          <w:spacing w:val="0"/>
          <w:sz w:val="32"/>
          <w:szCs w:val="28"/>
        </w:rPr>
        <w:t>未发生因信息公开审查不当或保密审查机构未履行保密审查职责而引起的失泄密情况。</w:t>
      </w:r>
      <w:r>
        <w:rPr>
          <w:rFonts w:hint="eastAsia" w:ascii="仿宋_GB2312" w:eastAsia="仿宋_GB2312" w:cs="仿宋_GB2312"/>
          <w:spacing w:val="0"/>
          <w:sz w:val="32"/>
          <w:szCs w:val="28"/>
          <w:lang w:eastAsia="zh-CN"/>
        </w:rPr>
        <w:t>2024年</w:t>
      </w:r>
      <w:r>
        <w:rPr>
          <w:rFonts w:hint="eastAsia" w:ascii="仿宋_GB2312" w:eastAsia="仿宋_GB2312" w:cs="仿宋_GB2312"/>
          <w:spacing w:val="0"/>
          <w:sz w:val="32"/>
          <w:szCs w:val="28"/>
        </w:rPr>
        <w:t>度未进行社会评议，未发生责任追究情况。</w:t>
      </w:r>
    </w:p>
    <w:p w14:paraId="0FF55503">
      <w:pPr>
        <w:pStyle w:val="5"/>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ind w:left="0" w:firstLine="420"/>
        <w:textAlignment w:val="auto"/>
        <w:rPr>
          <w:sz w:val="32"/>
          <w:szCs w:val="32"/>
        </w:rPr>
      </w:pPr>
      <w:r>
        <w:rPr>
          <w:rFonts w:hint="eastAsia" w:ascii="黑体" w:hAnsi="宋体" w:eastAsia="黑体" w:cs="黑体"/>
          <w:sz w:val="32"/>
          <w:szCs w:val="32"/>
        </w:rPr>
        <w:t> 二、主动公开政府信息情况</w:t>
      </w:r>
    </w:p>
    <w:tbl>
      <w:tblPr>
        <w:tblStyle w:val="6"/>
        <w:tblW w:w="8824" w:type="dxa"/>
        <w:tblInd w:w="0" w:type="dxa"/>
        <w:tblLayout w:type="fixed"/>
        <w:tblCellMar>
          <w:top w:w="0" w:type="dxa"/>
          <w:left w:w="108" w:type="dxa"/>
          <w:bottom w:w="0" w:type="dxa"/>
          <w:right w:w="108" w:type="dxa"/>
        </w:tblCellMar>
      </w:tblPr>
      <w:tblGrid>
        <w:gridCol w:w="2206"/>
        <w:gridCol w:w="2206"/>
        <w:gridCol w:w="2206"/>
        <w:gridCol w:w="2206"/>
      </w:tblGrid>
      <w:tr w14:paraId="3A3DE307">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3C715B77">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第二十条第（一）项</w:t>
            </w:r>
          </w:p>
        </w:tc>
      </w:tr>
      <w:tr w14:paraId="72590B1C">
        <w:tblPrEx>
          <w:tblCellMar>
            <w:top w:w="0" w:type="dxa"/>
            <w:left w:w="108" w:type="dxa"/>
            <w:bottom w:w="0" w:type="dxa"/>
            <w:right w:w="108" w:type="dxa"/>
          </w:tblCellMar>
        </w:tblPrEx>
        <w:trPr>
          <w:trHeight w:val="340" w:hRule="exact"/>
        </w:trPr>
        <w:tc>
          <w:tcPr>
            <w:tcW w:w="2206" w:type="dxa"/>
            <w:tcBorders>
              <w:top w:val="nil"/>
              <w:left w:val="single" w:color="auto" w:sz="8" w:space="0"/>
              <w:bottom w:val="single" w:color="auto" w:sz="8" w:space="0"/>
              <w:right w:val="single" w:color="auto" w:sz="8" w:space="0"/>
            </w:tcBorders>
            <w:noWrap w:val="0"/>
            <w:vAlign w:val="center"/>
          </w:tcPr>
          <w:p w14:paraId="4C016C1A">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2206" w:type="dxa"/>
            <w:tcBorders>
              <w:top w:val="nil"/>
              <w:left w:val="nil"/>
              <w:bottom w:val="single" w:color="auto" w:sz="8" w:space="0"/>
              <w:right w:val="single" w:color="auto" w:sz="8" w:space="0"/>
            </w:tcBorders>
            <w:noWrap w:val="0"/>
            <w:vAlign w:val="center"/>
          </w:tcPr>
          <w:p w14:paraId="2C264423">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本年制发件数</w:t>
            </w:r>
          </w:p>
        </w:tc>
        <w:tc>
          <w:tcPr>
            <w:tcW w:w="2206" w:type="dxa"/>
            <w:tcBorders>
              <w:top w:val="nil"/>
              <w:left w:val="nil"/>
              <w:bottom w:val="single" w:color="auto" w:sz="8" w:space="0"/>
              <w:right w:val="single" w:color="auto" w:sz="8" w:space="0"/>
            </w:tcBorders>
            <w:noWrap w:val="0"/>
            <w:vAlign w:val="center"/>
          </w:tcPr>
          <w:p w14:paraId="075761E6">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本年废止件数</w:t>
            </w:r>
          </w:p>
        </w:tc>
        <w:tc>
          <w:tcPr>
            <w:tcW w:w="2206" w:type="dxa"/>
            <w:tcBorders>
              <w:top w:val="nil"/>
              <w:left w:val="nil"/>
              <w:bottom w:val="single" w:color="auto" w:sz="8" w:space="0"/>
              <w:right w:val="single" w:color="auto" w:sz="8" w:space="0"/>
            </w:tcBorders>
            <w:noWrap w:val="0"/>
            <w:vAlign w:val="center"/>
          </w:tcPr>
          <w:p w14:paraId="57218928">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现行有效件数</w:t>
            </w:r>
          </w:p>
        </w:tc>
      </w:tr>
      <w:tr w14:paraId="601BE5CB">
        <w:tblPrEx>
          <w:tblCellMar>
            <w:top w:w="0" w:type="dxa"/>
            <w:left w:w="108" w:type="dxa"/>
            <w:bottom w:w="0" w:type="dxa"/>
            <w:right w:w="108" w:type="dxa"/>
          </w:tblCellMar>
        </w:tblPrEx>
        <w:trPr>
          <w:trHeight w:val="340" w:hRule="exact"/>
        </w:trPr>
        <w:tc>
          <w:tcPr>
            <w:tcW w:w="2206" w:type="dxa"/>
            <w:tcBorders>
              <w:top w:val="nil"/>
              <w:left w:val="single" w:color="auto" w:sz="8" w:space="0"/>
              <w:bottom w:val="single" w:color="auto" w:sz="8" w:space="0"/>
              <w:right w:val="single" w:color="auto" w:sz="8" w:space="0"/>
            </w:tcBorders>
            <w:noWrap w:val="0"/>
            <w:vAlign w:val="center"/>
          </w:tcPr>
          <w:p w14:paraId="7FE944F0">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规章</w:t>
            </w:r>
          </w:p>
        </w:tc>
        <w:tc>
          <w:tcPr>
            <w:tcW w:w="2206" w:type="dxa"/>
            <w:tcBorders>
              <w:top w:val="nil"/>
              <w:left w:val="nil"/>
              <w:bottom w:val="single" w:color="auto" w:sz="8" w:space="0"/>
              <w:right w:val="single" w:color="auto" w:sz="8" w:space="0"/>
            </w:tcBorders>
            <w:noWrap w:val="0"/>
            <w:vAlign w:val="center"/>
          </w:tcPr>
          <w:p w14:paraId="1F1961C5">
            <w:pPr>
              <w:widowControl/>
              <w:jc w:val="center"/>
              <w:rPr>
                <w:rFonts w:hint="eastAsia" w:ascii="仿宋_GB2312" w:hAnsi="宋体" w:eastAsia="仿宋_GB2312" w:cs="宋体"/>
                <w:color w:val="auto"/>
                <w:kern w:val="0"/>
                <w:szCs w:val="21"/>
                <w:lang w:eastAsia="zh-CN"/>
              </w:rPr>
            </w:pPr>
            <w:r>
              <w:rPr>
                <w:rFonts w:hint="eastAsia" w:ascii="仿宋_GB2312" w:hAnsi="宋体" w:eastAsia="仿宋_GB2312" w:cs="宋体"/>
                <w:color w:val="auto"/>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14:paraId="2F1E0B33">
            <w:pPr>
              <w:widowControl/>
              <w:jc w:val="center"/>
              <w:rPr>
                <w:rFonts w:ascii="仿宋_GB2312" w:hAnsi="宋体" w:eastAsia="仿宋_GB2312" w:cs="宋体"/>
                <w:color w:val="auto"/>
                <w:kern w:val="0"/>
                <w:szCs w:val="21"/>
              </w:rPr>
            </w:pPr>
            <w:r>
              <w:rPr>
                <w:rFonts w:hint="eastAsia" w:ascii="仿宋_GB2312" w:hAnsi="宋体" w:eastAsia="仿宋_GB2312" w:cs="宋体"/>
                <w:color w:val="auto"/>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14:paraId="72EAC014">
            <w:pPr>
              <w:widowControl/>
              <w:jc w:val="center"/>
              <w:rPr>
                <w:rFonts w:ascii="仿宋_GB2312" w:hAnsi="Calibri" w:eastAsia="仿宋_GB2312" w:cs="Calibri"/>
                <w:color w:val="auto"/>
                <w:kern w:val="0"/>
                <w:szCs w:val="21"/>
              </w:rPr>
            </w:pPr>
            <w:r>
              <w:rPr>
                <w:rFonts w:hint="eastAsia" w:ascii="仿宋_GB2312" w:hAnsi="宋体" w:eastAsia="仿宋_GB2312" w:cs="宋体"/>
                <w:color w:val="auto"/>
                <w:kern w:val="0"/>
                <w:szCs w:val="21"/>
                <w:lang w:val="en-US" w:eastAsia="zh-CN"/>
              </w:rPr>
              <w:t>0</w:t>
            </w:r>
          </w:p>
        </w:tc>
      </w:tr>
      <w:tr w14:paraId="418D8FE8">
        <w:tblPrEx>
          <w:tblCellMar>
            <w:top w:w="0" w:type="dxa"/>
            <w:left w:w="108" w:type="dxa"/>
            <w:bottom w:w="0" w:type="dxa"/>
            <w:right w:w="108" w:type="dxa"/>
          </w:tblCellMar>
        </w:tblPrEx>
        <w:trPr>
          <w:trHeight w:val="340" w:hRule="exact"/>
        </w:trPr>
        <w:tc>
          <w:tcPr>
            <w:tcW w:w="2206" w:type="dxa"/>
            <w:tcBorders>
              <w:top w:val="nil"/>
              <w:left w:val="single" w:color="auto" w:sz="8" w:space="0"/>
              <w:bottom w:val="single" w:color="auto" w:sz="8" w:space="0"/>
              <w:right w:val="single" w:color="auto" w:sz="8" w:space="0"/>
            </w:tcBorders>
            <w:noWrap w:val="0"/>
            <w:vAlign w:val="center"/>
          </w:tcPr>
          <w:p w14:paraId="6511D9CF">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行政规范性文件</w:t>
            </w:r>
          </w:p>
        </w:tc>
        <w:tc>
          <w:tcPr>
            <w:tcW w:w="2206" w:type="dxa"/>
            <w:tcBorders>
              <w:top w:val="nil"/>
              <w:left w:val="nil"/>
              <w:bottom w:val="single" w:color="auto" w:sz="8" w:space="0"/>
              <w:right w:val="single" w:color="auto" w:sz="8" w:space="0"/>
            </w:tcBorders>
            <w:noWrap w:val="0"/>
            <w:vAlign w:val="center"/>
          </w:tcPr>
          <w:p w14:paraId="7D4E88A1">
            <w:pPr>
              <w:widowControl/>
              <w:jc w:val="center"/>
              <w:rPr>
                <w:rFonts w:hint="eastAsia" w:ascii="仿宋_GB2312" w:hAnsi="宋体" w:eastAsia="仿宋_GB2312" w:cs="宋体"/>
                <w:color w:val="auto"/>
                <w:kern w:val="0"/>
                <w:szCs w:val="21"/>
                <w:lang w:eastAsia="zh-CN"/>
              </w:rPr>
            </w:pPr>
            <w:r>
              <w:rPr>
                <w:rFonts w:hint="eastAsia" w:ascii="仿宋_GB2312" w:hAnsi="宋体" w:eastAsia="仿宋_GB2312" w:cs="宋体"/>
                <w:color w:val="auto"/>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14:paraId="16EFC8D1">
            <w:pPr>
              <w:widowControl/>
              <w:jc w:val="center"/>
              <w:rPr>
                <w:rFonts w:hint="eastAsia" w:ascii="仿宋_GB2312" w:hAnsi="宋体" w:eastAsia="仿宋_GB2312" w:cs="宋体"/>
                <w:color w:val="auto"/>
                <w:kern w:val="0"/>
                <w:szCs w:val="21"/>
                <w:lang w:eastAsia="zh-CN"/>
              </w:rPr>
            </w:pPr>
            <w:r>
              <w:rPr>
                <w:rFonts w:hint="eastAsia" w:ascii="仿宋_GB2312" w:hAnsi="宋体" w:eastAsia="仿宋_GB2312" w:cs="宋体"/>
                <w:color w:val="auto"/>
                <w:kern w:val="0"/>
                <w:szCs w:val="21"/>
                <w:lang w:val="en-US" w:eastAsia="zh-CN"/>
              </w:rPr>
              <w:t>0</w:t>
            </w:r>
          </w:p>
        </w:tc>
        <w:tc>
          <w:tcPr>
            <w:tcW w:w="2206" w:type="dxa"/>
            <w:tcBorders>
              <w:top w:val="nil"/>
              <w:left w:val="nil"/>
              <w:bottom w:val="single" w:color="auto" w:sz="8" w:space="0"/>
              <w:right w:val="single" w:color="auto" w:sz="8" w:space="0"/>
            </w:tcBorders>
            <w:noWrap w:val="0"/>
            <w:vAlign w:val="center"/>
          </w:tcPr>
          <w:p w14:paraId="66187DDE">
            <w:pPr>
              <w:widowControl/>
              <w:jc w:val="center"/>
              <w:rPr>
                <w:rFonts w:hint="eastAsia" w:ascii="仿宋_GB2312" w:hAnsi="宋体" w:eastAsia="仿宋_GB2312" w:cs="宋体"/>
                <w:color w:val="auto"/>
                <w:kern w:val="0"/>
                <w:szCs w:val="21"/>
                <w:lang w:eastAsia="zh-CN"/>
              </w:rPr>
            </w:pPr>
            <w:r>
              <w:rPr>
                <w:rFonts w:hint="eastAsia" w:ascii="仿宋_GB2312" w:hAnsi="宋体" w:eastAsia="仿宋_GB2312" w:cs="宋体"/>
                <w:color w:val="auto"/>
                <w:kern w:val="0"/>
                <w:szCs w:val="21"/>
                <w:lang w:val="en-US" w:eastAsia="zh-CN"/>
              </w:rPr>
              <w:t>0</w:t>
            </w:r>
          </w:p>
        </w:tc>
      </w:tr>
      <w:tr w14:paraId="35DA98EC">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7217633B">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第二十条第（五）项</w:t>
            </w:r>
          </w:p>
        </w:tc>
      </w:tr>
      <w:tr w14:paraId="2F1C1A93">
        <w:tblPrEx>
          <w:tblCellMar>
            <w:top w:w="0" w:type="dxa"/>
            <w:left w:w="108" w:type="dxa"/>
            <w:bottom w:w="0" w:type="dxa"/>
            <w:right w:w="108" w:type="dxa"/>
          </w:tblCellMar>
        </w:tblPrEx>
        <w:trPr>
          <w:trHeight w:val="340" w:hRule="exact"/>
        </w:trPr>
        <w:tc>
          <w:tcPr>
            <w:tcW w:w="2206" w:type="dxa"/>
            <w:tcBorders>
              <w:top w:val="nil"/>
              <w:left w:val="single" w:color="auto" w:sz="8" w:space="0"/>
              <w:bottom w:val="single" w:color="auto" w:sz="8" w:space="0"/>
              <w:right w:val="single" w:color="auto" w:sz="8" w:space="0"/>
            </w:tcBorders>
            <w:noWrap w:val="0"/>
            <w:vAlign w:val="center"/>
          </w:tcPr>
          <w:p w14:paraId="7DD80173">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14:paraId="685D1D08">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14:paraId="296F75C9">
        <w:tblPrEx>
          <w:tblCellMar>
            <w:top w:w="0" w:type="dxa"/>
            <w:left w:w="108" w:type="dxa"/>
            <w:bottom w:w="0" w:type="dxa"/>
            <w:right w:w="108" w:type="dxa"/>
          </w:tblCellMar>
        </w:tblPrEx>
        <w:trPr>
          <w:trHeight w:val="340" w:hRule="exact"/>
        </w:trPr>
        <w:tc>
          <w:tcPr>
            <w:tcW w:w="2206" w:type="dxa"/>
            <w:tcBorders>
              <w:top w:val="nil"/>
              <w:left w:val="single" w:color="auto" w:sz="8" w:space="0"/>
              <w:bottom w:val="single" w:color="auto" w:sz="8" w:space="0"/>
              <w:right w:val="single" w:color="auto" w:sz="8" w:space="0"/>
            </w:tcBorders>
            <w:noWrap w:val="0"/>
            <w:vAlign w:val="center"/>
          </w:tcPr>
          <w:p w14:paraId="3CE87FA9">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行政许可</w:t>
            </w:r>
          </w:p>
        </w:tc>
        <w:tc>
          <w:tcPr>
            <w:tcW w:w="6618" w:type="dxa"/>
            <w:gridSpan w:val="3"/>
            <w:tcBorders>
              <w:top w:val="single" w:color="auto" w:sz="8" w:space="0"/>
              <w:left w:val="nil"/>
              <w:bottom w:val="single" w:color="auto" w:sz="8" w:space="0"/>
              <w:right w:val="single" w:color="000000" w:sz="8" w:space="0"/>
            </w:tcBorders>
            <w:noWrap w:val="0"/>
            <w:vAlign w:val="center"/>
          </w:tcPr>
          <w:p w14:paraId="3963C2ED">
            <w:pPr>
              <w:widowControl/>
              <w:jc w:val="center"/>
              <w:rPr>
                <w:rFonts w:hint="eastAsia" w:ascii="仿宋_GB2312" w:hAnsi="Calibri" w:eastAsia="仿宋_GB2312" w:cs="Calibri"/>
                <w:color w:val="auto"/>
                <w:kern w:val="0"/>
                <w:szCs w:val="21"/>
                <w:lang w:val="en-US" w:eastAsia="zh-CN"/>
              </w:rPr>
            </w:pPr>
            <w:r>
              <w:rPr>
                <w:rFonts w:hint="eastAsia" w:ascii="仿宋_GB2312" w:hAnsi="Calibri" w:eastAsia="仿宋_GB2312" w:cs="Calibri"/>
                <w:color w:val="auto"/>
                <w:kern w:val="0"/>
                <w:szCs w:val="21"/>
                <w:lang w:val="en-US" w:eastAsia="zh-CN"/>
              </w:rPr>
              <w:t>0</w:t>
            </w:r>
          </w:p>
        </w:tc>
      </w:tr>
      <w:tr w14:paraId="1053D5CA">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16902231">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第二十条第（六）项</w:t>
            </w:r>
          </w:p>
        </w:tc>
      </w:tr>
      <w:tr w14:paraId="5D9E1CF3">
        <w:tblPrEx>
          <w:tblCellMar>
            <w:top w:w="0" w:type="dxa"/>
            <w:left w:w="108" w:type="dxa"/>
            <w:bottom w:w="0" w:type="dxa"/>
            <w:right w:w="108" w:type="dxa"/>
          </w:tblCellMar>
        </w:tblPrEx>
        <w:trPr>
          <w:trHeight w:val="397" w:hRule="exact"/>
        </w:trPr>
        <w:tc>
          <w:tcPr>
            <w:tcW w:w="2206" w:type="dxa"/>
            <w:tcBorders>
              <w:top w:val="nil"/>
              <w:left w:val="single" w:color="auto" w:sz="8" w:space="0"/>
              <w:bottom w:val="single" w:color="auto" w:sz="8" w:space="0"/>
              <w:right w:val="single" w:color="auto" w:sz="8" w:space="0"/>
            </w:tcBorders>
            <w:noWrap w:val="0"/>
            <w:vAlign w:val="center"/>
          </w:tcPr>
          <w:p w14:paraId="61DFFAFB">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14:paraId="1336BFBA">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本年处理决定数量</w:t>
            </w:r>
          </w:p>
        </w:tc>
      </w:tr>
      <w:tr w14:paraId="5CA89E82">
        <w:tblPrEx>
          <w:tblCellMar>
            <w:top w:w="0" w:type="dxa"/>
            <w:left w:w="108" w:type="dxa"/>
            <w:bottom w:w="0" w:type="dxa"/>
            <w:right w:w="108" w:type="dxa"/>
          </w:tblCellMar>
        </w:tblPrEx>
        <w:trPr>
          <w:trHeight w:val="397" w:hRule="exact"/>
        </w:trPr>
        <w:tc>
          <w:tcPr>
            <w:tcW w:w="2206" w:type="dxa"/>
            <w:tcBorders>
              <w:top w:val="nil"/>
              <w:left w:val="single" w:color="auto" w:sz="8" w:space="0"/>
              <w:bottom w:val="single" w:color="auto" w:sz="8" w:space="0"/>
              <w:right w:val="single" w:color="auto" w:sz="8" w:space="0"/>
            </w:tcBorders>
            <w:noWrap w:val="0"/>
            <w:vAlign w:val="center"/>
          </w:tcPr>
          <w:p w14:paraId="18795EF5">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行政处罚</w:t>
            </w:r>
          </w:p>
        </w:tc>
        <w:tc>
          <w:tcPr>
            <w:tcW w:w="6618" w:type="dxa"/>
            <w:gridSpan w:val="3"/>
            <w:tcBorders>
              <w:top w:val="single" w:color="auto" w:sz="8" w:space="0"/>
              <w:left w:val="nil"/>
              <w:bottom w:val="single" w:color="auto" w:sz="8" w:space="0"/>
              <w:right w:val="single" w:color="000000" w:sz="8" w:space="0"/>
            </w:tcBorders>
            <w:noWrap w:val="0"/>
            <w:vAlign w:val="center"/>
          </w:tcPr>
          <w:p w14:paraId="7906D6ED">
            <w:pPr>
              <w:widowControl/>
              <w:jc w:val="center"/>
              <w:rPr>
                <w:rFonts w:hint="eastAsia" w:ascii="仿宋_GB2312" w:hAnsi="Calibri" w:eastAsia="仿宋_GB2312" w:cs="Calibri"/>
                <w:color w:val="auto"/>
                <w:kern w:val="0"/>
                <w:szCs w:val="21"/>
                <w:lang w:eastAsia="zh-CN"/>
              </w:rPr>
            </w:pPr>
            <w:r>
              <w:rPr>
                <w:rFonts w:hint="eastAsia" w:ascii="仿宋_GB2312" w:hAnsi="Calibri" w:eastAsia="仿宋_GB2312" w:cs="Calibri"/>
                <w:color w:val="auto"/>
                <w:kern w:val="0"/>
                <w:szCs w:val="21"/>
                <w:lang w:val="en-US" w:eastAsia="zh-CN"/>
              </w:rPr>
              <w:t>0</w:t>
            </w:r>
          </w:p>
        </w:tc>
      </w:tr>
      <w:tr w14:paraId="6A8C5FD3">
        <w:tblPrEx>
          <w:tblCellMar>
            <w:top w:w="0" w:type="dxa"/>
            <w:left w:w="108" w:type="dxa"/>
            <w:bottom w:w="0" w:type="dxa"/>
            <w:right w:w="108" w:type="dxa"/>
          </w:tblCellMar>
        </w:tblPrEx>
        <w:trPr>
          <w:trHeight w:val="397" w:hRule="exact"/>
        </w:trPr>
        <w:tc>
          <w:tcPr>
            <w:tcW w:w="2206" w:type="dxa"/>
            <w:tcBorders>
              <w:top w:val="nil"/>
              <w:left w:val="single" w:color="auto" w:sz="8" w:space="0"/>
              <w:bottom w:val="single" w:color="auto" w:sz="8" w:space="0"/>
              <w:right w:val="single" w:color="auto" w:sz="8" w:space="0"/>
            </w:tcBorders>
            <w:noWrap w:val="0"/>
            <w:vAlign w:val="center"/>
          </w:tcPr>
          <w:p w14:paraId="7052AE1C">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行政强制</w:t>
            </w:r>
          </w:p>
        </w:tc>
        <w:tc>
          <w:tcPr>
            <w:tcW w:w="6618" w:type="dxa"/>
            <w:gridSpan w:val="3"/>
            <w:tcBorders>
              <w:top w:val="single" w:color="auto" w:sz="8" w:space="0"/>
              <w:left w:val="nil"/>
              <w:bottom w:val="single" w:color="auto" w:sz="8" w:space="0"/>
              <w:right w:val="single" w:color="000000" w:sz="8" w:space="0"/>
            </w:tcBorders>
            <w:noWrap w:val="0"/>
            <w:vAlign w:val="center"/>
          </w:tcPr>
          <w:p w14:paraId="35EB64AF">
            <w:pPr>
              <w:widowControl/>
              <w:jc w:val="center"/>
              <w:rPr>
                <w:rFonts w:hint="default" w:ascii="仿宋_GB2312" w:hAnsi="Calibri" w:eastAsia="仿宋_GB2312" w:cs="Calibri"/>
                <w:color w:val="auto"/>
                <w:kern w:val="0"/>
                <w:szCs w:val="21"/>
                <w:lang w:val="en-US" w:eastAsia="zh-CN"/>
              </w:rPr>
            </w:pPr>
            <w:r>
              <w:rPr>
                <w:rFonts w:hint="eastAsia" w:ascii="仿宋_GB2312" w:hAnsi="Calibri" w:eastAsia="仿宋_GB2312" w:cs="Calibri"/>
                <w:color w:val="auto"/>
                <w:kern w:val="0"/>
                <w:szCs w:val="21"/>
                <w:lang w:val="en-US" w:eastAsia="zh-CN"/>
              </w:rPr>
              <w:t>0</w:t>
            </w:r>
          </w:p>
        </w:tc>
      </w:tr>
      <w:tr w14:paraId="60E2113E">
        <w:tblPrEx>
          <w:tblCellMar>
            <w:top w:w="0" w:type="dxa"/>
            <w:left w:w="108" w:type="dxa"/>
            <w:bottom w:w="0" w:type="dxa"/>
            <w:right w:w="108" w:type="dxa"/>
          </w:tblCellMar>
        </w:tblPrEx>
        <w:trPr>
          <w:trHeight w:val="567" w:hRule="atLeast"/>
        </w:trPr>
        <w:tc>
          <w:tcPr>
            <w:tcW w:w="8824" w:type="dxa"/>
            <w:gridSpan w:val="4"/>
            <w:tcBorders>
              <w:top w:val="single" w:color="auto" w:sz="8" w:space="0"/>
              <w:left w:val="single" w:color="auto" w:sz="8" w:space="0"/>
              <w:bottom w:val="single" w:color="auto" w:sz="8" w:space="0"/>
              <w:right w:val="single" w:color="000000" w:sz="8" w:space="0"/>
            </w:tcBorders>
            <w:shd w:val="clear" w:color="000000" w:fill="C6D9F1"/>
            <w:noWrap w:val="0"/>
            <w:vAlign w:val="center"/>
          </w:tcPr>
          <w:p w14:paraId="505EDE65">
            <w:pPr>
              <w:widowControl/>
              <w:jc w:val="center"/>
              <w:rPr>
                <w:rFonts w:ascii="黑体" w:hAnsi="黑体" w:eastAsia="黑体" w:cs="宋体"/>
                <w:color w:val="000000"/>
                <w:kern w:val="0"/>
                <w:szCs w:val="21"/>
              </w:rPr>
            </w:pPr>
            <w:r>
              <w:rPr>
                <w:rFonts w:hint="eastAsia" w:ascii="黑体" w:hAnsi="黑体" w:eastAsia="黑体" w:cs="宋体"/>
                <w:color w:val="000000"/>
                <w:kern w:val="0"/>
                <w:szCs w:val="21"/>
              </w:rPr>
              <w:t>第二十条第（八）项</w:t>
            </w:r>
          </w:p>
        </w:tc>
      </w:tr>
      <w:tr w14:paraId="0C49E078">
        <w:tblPrEx>
          <w:tblCellMar>
            <w:top w:w="0" w:type="dxa"/>
            <w:left w:w="108" w:type="dxa"/>
            <w:bottom w:w="0" w:type="dxa"/>
            <w:right w:w="108" w:type="dxa"/>
          </w:tblCellMar>
        </w:tblPrEx>
        <w:trPr>
          <w:trHeight w:val="397" w:hRule="exact"/>
        </w:trPr>
        <w:tc>
          <w:tcPr>
            <w:tcW w:w="2206" w:type="dxa"/>
            <w:tcBorders>
              <w:top w:val="nil"/>
              <w:left w:val="single" w:color="auto" w:sz="8" w:space="0"/>
              <w:bottom w:val="single" w:color="auto" w:sz="8" w:space="0"/>
              <w:right w:val="single" w:color="auto" w:sz="8" w:space="0"/>
            </w:tcBorders>
            <w:noWrap w:val="0"/>
            <w:vAlign w:val="center"/>
          </w:tcPr>
          <w:p w14:paraId="39A99A84">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信息内容</w:t>
            </w:r>
          </w:p>
        </w:tc>
        <w:tc>
          <w:tcPr>
            <w:tcW w:w="6618" w:type="dxa"/>
            <w:gridSpan w:val="3"/>
            <w:tcBorders>
              <w:top w:val="single" w:color="auto" w:sz="8" w:space="0"/>
              <w:left w:val="nil"/>
              <w:bottom w:val="single" w:color="auto" w:sz="8" w:space="0"/>
              <w:right w:val="single" w:color="000000" w:sz="8" w:space="0"/>
            </w:tcBorders>
            <w:noWrap w:val="0"/>
            <w:vAlign w:val="center"/>
          </w:tcPr>
          <w:p w14:paraId="57F12C40">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本年收费金额（单位：万元）</w:t>
            </w:r>
          </w:p>
        </w:tc>
      </w:tr>
      <w:tr w14:paraId="30AB4DD8">
        <w:tblPrEx>
          <w:tblCellMar>
            <w:top w:w="0" w:type="dxa"/>
            <w:left w:w="108" w:type="dxa"/>
            <w:bottom w:w="0" w:type="dxa"/>
            <w:right w:w="108" w:type="dxa"/>
          </w:tblCellMar>
        </w:tblPrEx>
        <w:trPr>
          <w:trHeight w:val="397" w:hRule="exact"/>
        </w:trPr>
        <w:tc>
          <w:tcPr>
            <w:tcW w:w="2206" w:type="dxa"/>
            <w:tcBorders>
              <w:top w:val="nil"/>
              <w:left w:val="single" w:color="auto" w:sz="8" w:space="0"/>
              <w:bottom w:val="single" w:color="auto" w:sz="8" w:space="0"/>
              <w:right w:val="single" w:color="auto" w:sz="8" w:space="0"/>
            </w:tcBorders>
            <w:noWrap w:val="0"/>
            <w:vAlign w:val="center"/>
          </w:tcPr>
          <w:p w14:paraId="3716E4AB">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行政事业性收费</w:t>
            </w:r>
          </w:p>
        </w:tc>
        <w:tc>
          <w:tcPr>
            <w:tcW w:w="6618" w:type="dxa"/>
            <w:gridSpan w:val="3"/>
            <w:tcBorders>
              <w:top w:val="single" w:color="auto" w:sz="8" w:space="0"/>
              <w:left w:val="nil"/>
              <w:bottom w:val="single" w:color="auto" w:sz="8" w:space="0"/>
              <w:right w:val="single" w:color="000000" w:sz="8" w:space="0"/>
            </w:tcBorders>
            <w:noWrap w:val="0"/>
            <w:vAlign w:val="center"/>
          </w:tcPr>
          <w:p w14:paraId="1C0F3E45">
            <w:pPr>
              <w:widowControl/>
              <w:jc w:val="center"/>
              <w:rPr>
                <w:rFonts w:hint="eastAsia" w:ascii="仿宋_GB2312" w:hAnsi="Calibri" w:eastAsia="仿宋_GB2312" w:cs="Calibri"/>
                <w:color w:val="000000"/>
                <w:kern w:val="0"/>
                <w:szCs w:val="21"/>
                <w:lang w:eastAsia="zh-CN"/>
              </w:rPr>
            </w:pPr>
            <w:r>
              <w:rPr>
                <w:rFonts w:hint="eastAsia" w:ascii="仿宋_GB2312" w:hAnsi="Calibri" w:eastAsia="仿宋_GB2312" w:cs="Calibri"/>
                <w:color w:val="auto"/>
                <w:kern w:val="0"/>
                <w:szCs w:val="21"/>
                <w:lang w:val="en-US" w:eastAsia="zh-CN"/>
              </w:rPr>
              <w:t>0</w:t>
            </w:r>
          </w:p>
        </w:tc>
      </w:tr>
    </w:tbl>
    <w:p w14:paraId="23199E99">
      <w:pPr>
        <w:pStyle w:val="5"/>
        <w:keepNext w:val="0"/>
        <w:keepLines w:val="0"/>
        <w:widowControl/>
        <w:numPr>
          <w:ilvl w:val="0"/>
          <w:numId w:val="1"/>
        </w:numPr>
        <w:suppressLineNumbers w:val="0"/>
        <w:spacing w:after="0" w:afterAutospacing="0" w:line="317" w:lineRule="atLeast"/>
        <w:ind w:left="0" w:firstLine="420"/>
        <w:rPr>
          <w:rFonts w:hint="eastAsia" w:ascii="黑体" w:hAnsi="宋体" w:eastAsia="黑体" w:cs="黑体"/>
          <w:spacing w:val="0"/>
          <w:sz w:val="32"/>
          <w:szCs w:val="32"/>
        </w:rPr>
      </w:pPr>
      <w:r>
        <w:rPr>
          <w:rFonts w:hint="eastAsia" w:ascii="黑体" w:hAnsi="宋体" w:eastAsia="黑体" w:cs="黑体"/>
          <w:spacing w:val="0"/>
          <w:sz w:val="32"/>
          <w:szCs w:val="32"/>
        </w:rPr>
        <w:t>收到和处理政府信息公开申请情况</w:t>
      </w:r>
    </w:p>
    <w:tbl>
      <w:tblPr>
        <w:tblStyle w:val="6"/>
        <w:tblW w:w="9502" w:type="dxa"/>
        <w:jc w:val="center"/>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fixed"/>
        <w:tblCellMar>
          <w:top w:w="0" w:type="dxa"/>
          <w:left w:w="120" w:type="dxa"/>
          <w:bottom w:w="60" w:type="dxa"/>
          <w:right w:w="120" w:type="dxa"/>
        </w:tblCellMar>
      </w:tblPr>
      <w:tblGrid>
        <w:gridCol w:w="480"/>
        <w:gridCol w:w="1212"/>
        <w:gridCol w:w="2626"/>
        <w:gridCol w:w="852"/>
        <w:gridCol w:w="900"/>
        <w:gridCol w:w="840"/>
        <w:gridCol w:w="780"/>
        <w:gridCol w:w="756"/>
        <w:gridCol w:w="576"/>
        <w:gridCol w:w="480"/>
      </w:tblGrid>
      <w:tr w14:paraId="4AB2CAE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120" w:type="dxa"/>
            <w:bottom w:w="60" w:type="dxa"/>
            <w:right w:w="120" w:type="dxa"/>
          </w:tblCellMar>
        </w:tblPrEx>
        <w:trPr>
          <w:jc w:val="center"/>
        </w:trPr>
        <w:tc>
          <w:tcPr>
            <w:tcW w:w="4318" w:type="dxa"/>
            <w:gridSpan w:val="3"/>
            <w:vMerge w:val="restart"/>
            <w:tcBorders>
              <w:top w:val="single" w:color="auto" w:sz="4" w:space="0"/>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4A2CF36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left="0" w:right="0" w:firstLine="420"/>
              <w:jc w:val="center"/>
              <w:textAlignment w:val="auto"/>
              <w:rPr>
                <w:sz w:val="28"/>
                <w:szCs w:val="28"/>
              </w:rPr>
            </w:pPr>
            <w:r>
              <w:rPr>
                <w:rFonts w:hint="eastAsia" w:ascii="宋体" w:hAnsi="宋体" w:eastAsia="宋体" w:cs="宋体"/>
                <w:spacing w:val="0"/>
                <w:sz w:val="18"/>
                <w:szCs w:val="18"/>
              </w:rPr>
              <w:t>（本列数据的勾稽关系为：第一项加第二项之和，等于第三项加第四项之和）</w:t>
            </w:r>
          </w:p>
        </w:tc>
        <w:tc>
          <w:tcPr>
            <w:tcW w:w="5184" w:type="dxa"/>
            <w:gridSpan w:val="7"/>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27CC4AD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left="0" w:right="0" w:firstLine="420"/>
              <w:jc w:val="center"/>
              <w:textAlignment w:val="auto"/>
              <w:rPr>
                <w:sz w:val="28"/>
                <w:szCs w:val="28"/>
              </w:rPr>
            </w:pPr>
            <w:r>
              <w:rPr>
                <w:rFonts w:hint="eastAsia" w:ascii="宋体" w:hAnsi="宋体" w:eastAsia="宋体" w:cs="宋体"/>
                <w:spacing w:val="0"/>
                <w:sz w:val="18"/>
                <w:szCs w:val="18"/>
              </w:rPr>
              <w:t>申请人情况</w:t>
            </w:r>
          </w:p>
        </w:tc>
      </w:tr>
      <w:tr w14:paraId="143637EA">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trHeight w:val="132" w:hRule="atLeast"/>
          <w:jc w:val="center"/>
        </w:trPr>
        <w:tc>
          <w:tcPr>
            <w:tcW w:w="4318" w:type="dxa"/>
            <w:gridSpan w:val="3"/>
            <w:vMerge w:val="continue"/>
            <w:tcBorders>
              <w:top w:val="single" w:color="auto" w:sz="4" w:space="0"/>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2FC9F829">
            <w:pPr>
              <w:keepNext w:val="0"/>
              <w:keepLines w:val="0"/>
              <w:pageBreakBefore w:val="0"/>
              <w:kinsoku/>
              <w:overflowPunct/>
              <w:topLinePunct w:val="0"/>
              <w:autoSpaceDE/>
              <w:autoSpaceDN/>
              <w:bidi w:val="0"/>
              <w:adjustRightInd/>
              <w:snapToGrid/>
              <w:spacing w:line="240" w:lineRule="exact"/>
              <w:jc w:val="center"/>
              <w:textAlignment w:val="auto"/>
              <w:rPr>
                <w:rFonts w:hint="eastAsia" w:ascii="宋体"/>
                <w:sz w:val="28"/>
                <w:szCs w:val="28"/>
              </w:rPr>
            </w:pPr>
          </w:p>
        </w:tc>
        <w:tc>
          <w:tcPr>
            <w:tcW w:w="852" w:type="dxa"/>
            <w:vMerge w:val="restart"/>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E3CA947">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center"/>
              <w:textAlignment w:val="auto"/>
              <w:rPr>
                <w:sz w:val="28"/>
                <w:szCs w:val="28"/>
              </w:rPr>
            </w:pPr>
            <w:r>
              <w:rPr>
                <w:rFonts w:hint="eastAsia" w:ascii="宋体" w:hAnsi="宋体" w:eastAsia="宋体" w:cs="宋体"/>
                <w:spacing w:val="0"/>
                <w:sz w:val="18"/>
                <w:szCs w:val="18"/>
              </w:rPr>
              <w:t>自然人</w:t>
            </w:r>
          </w:p>
        </w:tc>
        <w:tc>
          <w:tcPr>
            <w:tcW w:w="3852" w:type="dxa"/>
            <w:gridSpan w:val="5"/>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009C9A1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left="0" w:right="0" w:firstLine="420"/>
              <w:jc w:val="center"/>
              <w:textAlignment w:val="auto"/>
              <w:rPr>
                <w:sz w:val="28"/>
                <w:szCs w:val="28"/>
              </w:rPr>
            </w:pPr>
            <w:r>
              <w:rPr>
                <w:rFonts w:hint="eastAsia" w:ascii="宋体" w:hAnsi="宋体" w:eastAsia="宋体" w:cs="宋体"/>
                <w:spacing w:val="0"/>
                <w:sz w:val="18"/>
                <w:szCs w:val="18"/>
              </w:rPr>
              <w:t>法人或其他组织</w:t>
            </w:r>
          </w:p>
        </w:tc>
        <w:tc>
          <w:tcPr>
            <w:tcW w:w="480" w:type="dxa"/>
            <w:vMerge w:val="restart"/>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318305F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both"/>
              <w:textAlignment w:val="auto"/>
              <w:rPr>
                <w:sz w:val="28"/>
                <w:szCs w:val="28"/>
              </w:rPr>
            </w:pPr>
            <w:r>
              <w:rPr>
                <w:rFonts w:hint="eastAsia" w:ascii="宋体" w:hAnsi="宋体" w:eastAsia="宋体" w:cs="宋体"/>
                <w:spacing w:val="0"/>
                <w:sz w:val="18"/>
                <w:szCs w:val="18"/>
              </w:rPr>
              <w:t>总计</w:t>
            </w:r>
          </w:p>
        </w:tc>
      </w:tr>
      <w:tr w14:paraId="4FBD78D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trHeight w:val="636" w:hRule="atLeast"/>
          <w:jc w:val="center"/>
        </w:trPr>
        <w:tc>
          <w:tcPr>
            <w:tcW w:w="4318" w:type="dxa"/>
            <w:gridSpan w:val="3"/>
            <w:vMerge w:val="continue"/>
            <w:tcBorders>
              <w:top w:val="single" w:color="auto" w:sz="4" w:space="0"/>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1731C462">
            <w:pPr>
              <w:keepNext w:val="0"/>
              <w:keepLines w:val="0"/>
              <w:pageBreakBefore w:val="0"/>
              <w:kinsoku/>
              <w:overflowPunct/>
              <w:topLinePunct w:val="0"/>
              <w:autoSpaceDE/>
              <w:autoSpaceDN/>
              <w:bidi w:val="0"/>
              <w:adjustRightInd/>
              <w:snapToGrid/>
              <w:spacing w:line="240" w:lineRule="exact"/>
              <w:jc w:val="center"/>
              <w:textAlignment w:val="auto"/>
              <w:rPr>
                <w:rFonts w:hint="eastAsia" w:ascii="宋体"/>
                <w:sz w:val="28"/>
                <w:szCs w:val="28"/>
              </w:rPr>
            </w:pPr>
          </w:p>
        </w:tc>
        <w:tc>
          <w:tcPr>
            <w:tcW w:w="852"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8B5CE63">
            <w:pPr>
              <w:keepNext w:val="0"/>
              <w:keepLines w:val="0"/>
              <w:pageBreakBefore w:val="0"/>
              <w:kinsoku/>
              <w:overflowPunct/>
              <w:topLinePunct w:val="0"/>
              <w:autoSpaceDE/>
              <w:autoSpaceDN/>
              <w:bidi w:val="0"/>
              <w:adjustRightInd/>
              <w:snapToGrid/>
              <w:spacing w:line="240" w:lineRule="exact"/>
              <w:jc w:val="center"/>
              <w:textAlignment w:val="auto"/>
              <w:rPr>
                <w:rFonts w:hint="eastAsia" w:ascii="宋体"/>
                <w:sz w:val="28"/>
                <w:szCs w:val="28"/>
              </w:rPr>
            </w:pP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B148DB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center"/>
              <w:textAlignment w:val="auto"/>
              <w:rPr>
                <w:sz w:val="28"/>
                <w:szCs w:val="28"/>
              </w:rPr>
            </w:pPr>
            <w:r>
              <w:rPr>
                <w:rFonts w:hint="eastAsia" w:ascii="宋体" w:hAnsi="宋体" w:eastAsia="宋体" w:cs="宋体"/>
                <w:spacing w:val="0"/>
                <w:sz w:val="18"/>
                <w:szCs w:val="18"/>
              </w:rPr>
              <w:t>商业企业</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C32BD86">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center"/>
              <w:textAlignment w:val="auto"/>
              <w:rPr>
                <w:sz w:val="28"/>
                <w:szCs w:val="28"/>
              </w:rPr>
            </w:pPr>
            <w:r>
              <w:rPr>
                <w:rFonts w:hint="eastAsia" w:ascii="宋体" w:hAnsi="宋体" w:eastAsia="宋体" w:cs="宋体"/>
                <w:spacing w:val="0"/>
                <w:sz w:val="18"/>
                <w:szCs w:val="18"/>
              </w:rPr>
              <w:t>科研机构</w:t>
            </w:r>
          </w:p>
        </w:tc>
        <w:tc>
          <w:tcPr>
            <w:tcW w:w="780" w:type="dxa"/>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511F613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center"/>
              <w:textAlignment w:val="auto"/>
              <w:rPr>
                <w:sz w:val="28"/>
                <w:szCs w:val="28"/>
              </w:rPr>
            </w:pPr>
            <w:r>
              <w:rPr>
                <w:rFonts w:hint="eastAsia" w:ascii="宋体" w:hAnsi="宋体" w:eastAsia="宋体" w:cs="宋体"/>
                <w:spacing w:val="0"/>
                <w:sz w:val="18"/>
                <w:szCs w:val="18"/>
              </w:rPr>
              <w:t>社会公益组织</w:t>
            </w:r>
          </w:p>
        </w:tc>
        <w:tc>
          <w:tcPr>
            <w:tcW w:w="756" w:type="dxa"/>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27D82FB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center"/>
              <w:textAlignment w:val="auto"/>
              <w:rPr>
                <w:sz w:val="28"/>
                <w:szCs w:val="28"/>
              </w:rPr>
            </w:pPr>
            <w:r>
              <w:rPr>
                <w:rFonts w:hint="eastAsia" w:ascii="宋体" w:hAnsi="宋体" w:eastAsia="宋体" w:cs="宋体"/>
                <w:spacing w:val="0"/>
                <w:sz w:val="18"/>
                <w:szCs w:val="18"/>
              </w:rPr>
              <w:t>法律服务机构</w:t>
            </w:r>
          </w:p>
        </w:tc>
        <w:tc>
          <w:tcPr>
            <w:tcW w:w="576" w:type="dxa"/>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6947D9B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right="0"/>
              <w:jc w:val="center"/>
              <w:textAlignment w:val="auto"/>
              <w:rPr>
                <w:sz w:val="28"/>
                <w:szCs w:val="28"/>
              </w:rPr>
            </w:pPr>
            <w:r>
              <w:rPr>
                <w:rFonts w:hint="eastAsia" w:ascii="宋体" w:hAnsi="宋体" w:eastAsia="宋体" w:cs="宋体"/>
                <w:spacing w:val="0"/>
                <w:sz w:val="18"/>
                <w:szCs w:val="18"/>
              </w:rPr>
              <w:t>其他</w:t>
            </w:r>
          </w:p>
        </w:tc>
        <w:tc>
          <w:tcPr>
            <w:tcW w:w="480" w:type="dxa"/>
            <w:vMerge w:val="continue"/>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173337DB">
            <w:pPr>
              <w:keepNext w:val="0"/>
              <w:keepLines w:val="0"/>
              <w:pageBreakBefore w:val="0"/>
              <w:kinsoku/>
              <w:overflowPunct/>
              <w:topLinePunct w:val="0"/>
              <w:autoSpaceDE/>
              <w:autoSpaceDN/>
              <w:bidi w:val="0"/>
              <w:adjustRightInd/>
              <w:snapToGrid/>
              <w:spacing w:line="240" w:lineRule="exact"/>
              <w:textAlignment w:val="auto"/>
              <w:rPr>
                <w:rFonts w:hint="eastAsia" w:ascii="宋体"/>
                <w:sz w:val="28"/>
                <w:szCs w:val="28"/>
              </w:rPr>
            </w:pPr>
          </w:p>
        </w:tc>
      </w:tr>
      <w:tr w14:paraId="6C8C85A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318" w:type="dxa"/>
            <w:gridSpan w:val="3"/>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485ED34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left="0" w:right="0" w:firstLine="420"/>
              <w:textAlignment w:val="auto"/>
              <w:rPr>
                <w:sz w:val="28"/>
                <w:szCs w:val="28"/>
              </w:rPr>
            </w:pPr>
            <w:r>
              <w:rPr>
                <w:rFonts w:hint="eastAsia" w:ascii="宋体" w:hAnsi="宋体" w:eastAsia="宋体" w:cs="宋体"/>
                <w:spacing w:val="0"/>
                <w:sz w:val="18"/>
                <w:szCs w:val="18"/>
              </w:rPr>
              <w:t>一、本年新收政府信息公开申请数量</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F072F2C">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ascii="Calibri" w:hAnsi="Calibri" w:cs="Calibri"/>
                <w:spacing w:val="0"/>
                <w:sz w:val="20"/>
                <w:szCs w:val="20"/>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8DC588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DCABB4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4EA3B0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FAD069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30823F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7A43D3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default" w:ascii="Calibri" w:hAnsi="Calibri" w:cs="Calibri"/>
                <w:spacing w:val="0"/>
                <w:sz w:val="20"/>
                <w:szCs w:val="20"/>
              </w:rPr>
              <w:t>0</w:t>
            </w:r>
          </w:p>
        </w:tc>
      </w:tr>
      <w:tr w14:paraId="78A715D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318" w:type="dxa"/>
            <w:gridSpan w:val="3"/>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2ADC839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40" w:lineRule="exact"/>
              <w:ind w:left="0" w:right="0" w:firstLine="420"/>
              <w:textAlignment w:val="auto"/>
              <w:rPr>
                <w:sz w:val="28"/>
                <w:szCs w:val="28"/>
              </w:rPr>
            </w:pPr>
            <w:r>
              <w:rPr>
                <w:rFonts w:hint="eastAsia" w:ascii="宋体" w:hAnsi="宋体" w:eastAsia="宋体" w:cs="宋体"/>
                <w:spacing w:val="0"/>
                <w:sz w:val="18"/>
                <w:szCs w:val="18"/>
              </w:rPr>
              <w:t>二、上年结转政府信息公开申请数量</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424D66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9010B3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73A686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4B871A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F64686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D92C54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F7E0D9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1D96E237">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120" w:type="dxa"/>
            <w:bottom w:w="60" w:type="dxa"/>
            <w:right w:w="120" w:type="dxa"/>
          </w:tblCellMar>
        </w:tblPrEx>
        <w:trPr>
          <w:jc w:val="center"/>
        </w:trPr>
        <w:tc>
          <w:tcPr>
            <w:tcW w:w="480" w:type="dxa"/>
            <w:vMerge w:val="restart"/>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0C95695C">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both"/>
              <w:textAlignment w:val="auto"/>
              <w:rPr>
                <w:rFonts w:hint="eastAsia" w:ascii="宋体" w:hAnsi="宋体" w:eastAsia="宋体" w:cs="宋体"/>
                <w:spacing w:val="0"/>
                <w:sz w:val="18"/>
                <w:szCs w:val="18"/>
              </w:rPr>
            </w:pPr>
          </w:p>
          <w:p w14:paraId="5D6AB3D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both"/>
              <w:textAlignment w:val="auto"/>
              <w:rPr>
                <w:sz w:val="28"/>
                <w:szCs w:val="28"/>
              </w:rPr>
            </w:pPr>
            <w:r>
              <w:rPr>
                <w:rFonts w:hint="eastAsia" w:ascii="宋体" w:hAnsi="宋体" w:eastAsia="宋体" w:cs="宋体"/>
                <w:spacing w:val="0"/>
                <w:sz w:val="18"/>
                <w:szCs w:val="18"/>
              </w:rPr>
              <w:t>三、本年度办理结果</w:t>
            </w:r>
          </w:p>
        </w:tc>
        <w:tc>
          <w:tcPr>
            <w:tcW w:w="3838" w:type="dxa"/>
            <w:gridSpan w:val="2"/>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4839AA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（一）予以公开</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18A700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170C50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20E9B3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D5A4D1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16C538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76A26E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6846CFE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373158E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07B1B0DE">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3838" w:type="dxa"/>
            <w:gridSpan w:val="2"/>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50C08D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（二）部分公开（区分处理的，只计这一情形，不计其他情形）</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1902DB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default" w:ascii="Calibri" w:hAnsi="Calibri" w:cs="Calibri"/>
                <w:spacing w:val="0"/>
                <w:sz w:val="20"/>
                <w:szCs w:val="20"/>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2812C1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6EC945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CF98DB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A284B7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7A6016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FE8F92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default" w:ascii="Calibri" w:hAnsi="Calibri" w:cs="Calibri"/>
                <w:spacing w:val="0"/>
                <w:sz w:val="20"/>
                <w:szCs w:val="20"/>
              </w:rPr>
              <w:t>0</w:t>
            </w:r>
          </w:p>
        </w:tc>
      </w:tr>
      <w:tr w14:paraId="05FD70B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64B6D2FB">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restart"/>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A794A3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84" w:right="0" w:firstLine="0"/>
              <w:textAlignment w:val="auto"/>
              <w:rPr>
                <w:sz w:val="28"/>
                <w:szCs w:val="28"/>
              </w:rPr>
            </w:pPr>
            <w:r>
              <w:rPr>
                <w:rFonts w:hint="eastAsia" w:ascii="宋体" w:hAnsi="宋体" w:eastAsia="宋体" w:cs="宋体"/>
                <w:spacing w:val="0"/>
                <w:sz w:val="18"/>
                <w:szCs w:val="18"/>
              </w:rPr>
              <w:t>（三）不予公开</w:t>
            </w: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692FBF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1.属于国家秘密</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E8D172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5B4EE3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EB5EF9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19A572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EDE2DB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30026C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49D13AB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64E84FB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70A34552">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525A185">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CD7D73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2.其他法律行政法规禁止公开</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488AF8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964DA1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249884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783B4E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40B2A2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8D78D9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27A2A7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43B020D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2BAF0711">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357317A">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44D40E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3.危及“三安全一稳定”</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40DF50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0538BF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8C414D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213CEA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B8FFA3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D54A17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B57CD4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4CB710B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79543D52">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55D22F1">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7DE140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4.保护第三方合法权益</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B6AE26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6D4D7E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9E5D32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A03636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B6AA21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77B23A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9787C0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2D705A7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3DAFE5AA">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81B967B">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4E09BA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5.属于三类内部事务信息</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5E36BF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A1B2B2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7EE035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04998E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534478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1679DE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1724FE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4F83D54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212DA51C">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02AE121">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A5147F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6.属于四类过程性信息</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0573E5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FFEE50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4B7466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7B8115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336E6F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2E9893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895D0C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2EE5A71E">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6EC07C0E">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FF80E94">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178E76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7.属于行政执法案卷</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354013C">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31E04B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235760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AF7807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1F8E63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CA8097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2DD4DC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3A3BF75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26530F72">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743773B">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493D5E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8.属于行政查询事项</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22F425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D67686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CA15A5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2727D6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2A1B55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B90EC3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96F669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10A6E5C6">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193FD32E">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restart"/>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E9442B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84" w:right="0" w:firstLine="0"/>
              <w:textAlignment w:val="auto"/>
              <w:rPr>
                <w:sz w:val="28"/>
                <w:szCs w:val="28"/>
              </w:rPr>
            </w:pPr>
            <w:r>
              <w:rPr>
                <w:rFonts w:hint="eastAsia" w:ascii="宋体" w:hAnsi="宋体" w:eastAsia="宋体" w:cs="宋体"/>
                <w:spacing w:val="0"/>
                <w:sz w:val="18"/>
                <w:szCs w:val="18"/>
              </w:rPr>
              <w:t>（四）无法提供</w:t>
            </w: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7E21DE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1.本机关不掌握相关政府信息</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572AD4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34BB15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FFFD46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F60CB8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552345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23095A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E38493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419C9AF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5DB4778F">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BD2E3C2">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79A166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2.没有现成信息需要另行制作</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8F7CA5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68BF25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7079D7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373621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E89BF3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DBF637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CFC3C9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6193D7E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4EBFFECA">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E791F95">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8A3528C">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3.补正后申请内容仍不明确</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910446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19312C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670007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284D5C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95FA09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0B0CA8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2C7B1F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28AB25E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0CBFFA55">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restart"/>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7DD12C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84" w:right="0" w:firstLine="0"/>
              <w:textAlignment w:val="auto"/>
              <w:rPr>
                <w:sz w:val="28"/>
                <w:szCs w:val="28"/>
              </w:rPr>
            </w:pPr>
            <w:r>
              <w:rPr>
                <w:rFonts w:hint="eastAsia" w:ascii="宋体" w:hAnsi="宋体" w:eastAsia="宋体" w:cs="宋体"/>
                <w:spacing w:val="0"/>
                <w:sz w:val="18"/>
                <w:szCs w:val="18"/>
              </w:rPr>
              <w:t>（五）不予处理</w:t>
            </w: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67739E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1.信访举报投诉类申请</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D6DA07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B1C36D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83F5A9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4D6EBB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28BE23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93E071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5D64B8C">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3A25DCF2">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12987C67">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FEAC156">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EE61C6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2.重复申请</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D64362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04E195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98D2BC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B61E4A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B72B91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DCECB0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D30A1D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2E42085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114362EA">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24A9379">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E012B6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3.要求提供公开出版物</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50D93B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075FF1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8566BE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0AED54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7E55B1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30F27F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5E8E93C">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62377CCC">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2664D4F4">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6C0C075">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AF630D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4.无正当理由大量反复申请</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91F36D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B11418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64374F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9A4FF9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2C407D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BF9201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7F7149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53079FB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1451A12A">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1365AF8">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0FE2B8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5.要求行政机关确认或重新出具已获取信息</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CB662B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64BAE1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234944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BA3EEB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95FF43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AFC2E3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27FF52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2DF13368">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trHeight w:val="132" w:hRule="atLeast"/>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107A7019">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restart"/>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048606A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（六）其他处理</w:t>
            </w: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CB4D6B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1.申请人无正当理由逾期不补正、行政机关不再处理其政府信息公开申请</w:t>
            </w:r>
          </w:p>
        </w:tc>
        <w:tc>
          <w:tcPr>
            <w:tcW w:w="852" w:type="dxa"/>
            <w:vMerge w:val="restart"/>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67E36FC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vMerge w:val="restart"/>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7EBA6B9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vMerge w:val="restart"/>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2C8191A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vMerge w:val="restart"/>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0DDA4D6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vMerge w:val="restart"/>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32ADB72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vMerge w:val="restart"/>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6B19AFE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vMerge w:val="restart"/>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27C36DA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33484E60">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trHeight w:val="132" w:hRule="atLeast"/>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46922A01">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3EE4D4DD">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C3274E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2.申请人逾期未按收费通知要求缴纳费用、行政机关不再处理其政府信息公开申请</w:t>
            </w:r>
          </w:p>
        </w:tc>
        <w:tc>
          <w:tcPr>
            <w:tcW w:w="852"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5152B975">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宋体"/>
                <w:sz w:val="28"/>
                <w:szCs w:val="28"/>
              </w:rPr>
            </w:pPr>
          </w:p>
        </w:tc>
        <w:tc>
          <w:tcPr>
            <w:tcW w:w="900"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2411941A">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宋体"/>
                <w:sz w:val="28"/>
                <w:szCs w:val="28"/>
              </w:rPr>
            </w:pPr>
          </w:p>
        </w:tc>
        <w:tc>
          <w:tcPr>
            <w:tcW w:w="840"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791C5D80">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宋体"/>
                <w:sz w:val="28"/>
                <w:szCs w:val="28"/>
              </w:rPr>
            </w:pPr>
          </w:p>
        </w:tc>
        <w:tc>
          <w:tcPr>
            <w:tcW w:w="780"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126BDCCD">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宋体"/>
                <w:sz w:val="28"/>
                <w:szCs w:val="28"/>
              </w:rPr>
            </w:pPr>
          </w:p>
        </w:tc>
        <w:tc>
          <w:tcPr>
            <w:tcW w:w="756"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0410B923">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宋体"/>
                <w:sz w:val="28"/>
                <w:szCs w:val="28"/>
              </w:rPr>
            </w:pPr>
          </w:p>
        </w:tc>
        <w:tc>
          <w:tcPr>
            <w:tcW w:w="576"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04BE64BF">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宋体"/>
                <w:sz w:val="28"/>
                <w:szCs w:val="28"/>
              </w:rPr>
            </w:pPr>
          </w:p>
        </w:tc>
        <w:tc>
          <w:tcPr>
            <w:tcW w:w="480"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1C6D1B01">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宋体"/>
                <w:sz w:val="28"/>
                <w:szCs w:val="28"/>
              </w:rPr>
            </w:pPr>
          </w:p>
        </w:tc>
      </w:tr>
      <w:tr w14:paraId="1C4429D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trHeight w:val="132" w:hRule="atLeast"/>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1F1094B1">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1212"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09264EBA">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262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D218DD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3.其他</w:t>
            </w:r>
          </w:p>
        </w:tc>
        <w:tc>
          <w:tcPr>
            <w:tcW w:w="852"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2DA3EEBC">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宋体"/>
                <w:sz w:val="28"/>
                <w:szCs w:val="28"/>
              </w:rPr>
            </w:pPr>
          </w:p>
        </w:tc>
        <w:tc>
          <w:tcPr>
            <w:tcW w:w="900"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16F48CF9">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宋体"/>
                <w:sz w:val="28"/>
                <w:szCs w:val="28"/>
              </w:rPr>
            </w:pPr>
          </w:p>
        </w:tc>
        <w:tc>
          <w:tcPr>
            <w:tcW w:w="840"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02E11C25">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宋体"/>
                <w:sz w:val="28"/>
                <w:szCs w:val="28"/>
              </w:rPr>
            </w:pPr>
          </w:p>
        </w:tc>
        <w:tc>
          <w:tcPr>
            <w:tcW w:w="780"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1AAF5543">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宋体"/>
                <w:sz w:val="28"/>
                <w:szCs w:val="28"/>
              </w:rPr>
            </w:pPr>
          </w:p>
        </w:tc>
        <w:tc>
          <w:tcPr>
            <w:tcW w:w="756"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096B9996">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宋体"/>
                <w:sz w:val="28"/>
                <w:szCs w:val="28"/>
              </w:rPr>
            </w:pPr>
          </w:p>
        </w:tc>
        <w:tc>
          <w:tcPr>
            <w:tcW w:w="576"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12E38A35">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宋体"/>
                <w:sz w:val="28"/>
                <w:szCs w:val="28"/>
              </w:rPr>
            </w:pPr>
          </w:p>
        </w:tc>
        <w:tc>
          <w:tcPr>
            <w:tcW w:w="480" w:type="dxa"/>
            <w:vMerge w:val="continue"/>
            <w:tcBorders>
              <w:top w:val="nil"/>
              <w:left w:val="nil"/>
              <w:bottom w:val="outset" w:color="auto" w:sz="4" w:space="0"/>
              <w:right w:val="single" w:color="auto" w:sz="4" w:space="0"/>
            </w:tcBorders>
            <w:shd w:val="clear" w:color="auto" w:fill="auto"/>
            <w:tcMar>
              <w:top w:w="60" w:type="dxa"/>
              <w:left w:w="60" w:type="dxa"/>
              <w:right w:w="60" w:type="dxa"/>
            </w:tcMar>
            <w:vAlign w:val="center"/>
          </w:tcPr>
          <w:p w14:paraId="372C5B64">
            <w:pPr>
              <w:keepNext w:val="0"/>
              <w:keepLines w:val="0"/>
              <w:pageBreakBefore w:val="0"/>
              <w:widowControl w:val="0"/>
              <w:kinsoku/>
              <w:wordWrap/>
              <w:overflowPunct/>
              <w:topLinePunct w:val="0"/>
              <w:autoSpaceDE/>
              <w:autoSpaceDN/>
              <w:bidi w:val="0"/>
              <w:adjustRightInd/>
              <w:snapToGrid/>
              <w:spacing w:line="240" w:lineRule="exact"/>
              <w:ind w:firstLine="0"/>
              <w:jc w:val="center"/>
              <w:textAlignment w:val="auto"/>
              <w:rPr>
                <w:rFonts w:hint="eastAsia" w:ascii="宋体"/>
                <w:sz w:val="28"/>
                <w:szCs w:val="28"/>
              </w:rPr>
            </w:pPr>
          </w:p>
        </w:tc>
      </w:tr>
      <w:tr w14:paraId="64CE16ED">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120" w:type="dxa"/>
            <w:bottom w:w="60" w:type="dxa"/>
            <w:right w:w="120" w:type="dxa"/>
          </w:tblCellMar>
        </w:tblPrEx>
        <w:trPr>
          <w:jc w:val="center"/>
        </w:trPr>
        <w:tc>
          <w:tcPr>
            <w:tcW w:w="480"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02413563">
            <w:pPr>
              <w:keepNext w:val="0"/>
              <w:keepLines w:val="0"/>
              <w:pageBreakBefore w:val="0"/>
              <w:widowControl w:val="0"/>
              <w:kinsoku/>
              <w:wordWrap/>
              <w:overflowPunct/>
              <w:topLinePunct w:val="0"/>
              <w:autoSpaceDE/>
              <w:autoSpaceDN/>
              <w:bidi w:val="0"/>
              <w:adjustRightInd/>
              <w:snapToGrid/>
              <w:spacing w:line="240" w:lineRule="exact"/>
              <w:ind w:firstLine="0"/>
              <w:textAlignment w:val="auto"/>
              <w:rPr>
                <w:rFonts w:hint="eastAsia" w:ascii="宋体"/>
                <w:sz w:val="28"/>
                <w:szCs w:val="28"/>
              </w:rPr>
            </w:pPr>
          </w:p>
        </w:tc>
        <w:tc>
          <w:tcPr>
            <w:tcW w:w="3838" w:type="dxa"/>
            <w:gridSpan w:val="2"/>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FD8E08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（七）总计</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1D722D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652E24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4B198D4">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639527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74E763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9DA19E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3C34BA8">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r w14:paraId="388B812B">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jc w:val="center"/>
        </w:trPr>
        <w:tc>
          <w:tcPr>
            <w:tcW w:w="4318" w:type="dxa"/>
            <w:gridSpan w:val="3"/>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7D25D867">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textAlignment w:val="auto"/>
              <w:rPr>
                <w:sz w:val="28"/>
                <w:szCs w:val="28"/>
              </w:rPr>
            </w:pPr>
            <w:r>
              <w:rPr>
                <w:rFonts w:hint="eastAsia" w:ascii="宋体" w:hAnsi="宋体" w:eastAsia="宋体" w:cs="宋体"/>
                <w:spacing w:val="0"/>
                <w:sz w:val="18"/>
                <w:szCs w:val="18"/>
              </w:rPr>
              <w:t>四、结转下年度继续办理</w:t>
            </w:r>
          </w:p>
        </w:tc>
        <w:tc>
          <w:tcPr>
            <w:tcW w:w="852"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C56286A">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90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146E21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84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A7CF5E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19B783F">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75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74B548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576"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C95F343">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c>
          <w:tcPr>
            <w:tcW w:w="480"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3EA1CD1">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exact"/>
              <w:ind w:left="0" w:right="0" w:firstLine="0"/>
              <w:jc w:val="center"/>
              <w:textAlignment w:val="auto"/>
              <w:rPr>
                <w:sz w:val="28"/>
                <w:szCs w:val="28"/>
              </w:rPr>
            </w:pPr>
            <w:r>
              <w:rPr>
                <w:rFonts w:hint="eastAsia" w:ascii="宋体" w:hAnsi="宋体" w:eastAsia="宋体" w:cs="宋体"/>
                <w:spacing w:val="0"/>
                <w:sz w:val="18"/>
                <w:szCs w:val="18"/>
              </w:rPr>
              <w:t>0</w:t>
            </w:r>
          </w:p>
        </w:tc>
      </w:tr>
    </w:tbl>
    <w:p w14:paraId="417195B6">
      <w:pPr>
        <w:pStyle w:val="5"/>
        <w:keepNext w:val="0"/>
        <w:keepLines w:val="0"/>
        <w:widowControl/>
        <w:suppressLineNumbers w:val="0"/>
        <w:spacing w:line="252" w:lineRule="atLeast"/>
        <w:ind w:left="0" w:firstLine="420"/>
        <w:rPr>
          <w:sz w:val="28"/>
          <w:szCs w:val="28"/>
        </w:rPr>
      </w:pPr>
      <w:r>
        <w:rPr>
          <w:rFonts w:hint="eastAsia" w:ascii="黑体" w:hAnsi="宋体" w:eastAsia="黑体" w:cs="黑体"/>
          <w:spacing w:val="0"/>
          <w:sz w:val="28"/>
          <w:szCs w:val="28"/>
        </w:rPr>
        <w:t>四、政府信息公开行政复议、行政诉讼情况</w:t>
      </w:r>
    </w:p>
    <w:tbl>
      <w:tblPr>
        <w:tblStyle w:val="6"/>
        <w:tblW w:w="0" w:type="auto"/>
        <w:tblInd w:w="0" w:type="dxa"/>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Layout w:type="autofit"/>
        <w:tblCellMar>
          <w:top w:w="0" w:type="dxa"/>
          <w:left w:w="120" w:type="dxa"/>
          <w:bottom w:w="60" w:type="dxa"/>
          <w:right w:w="120" w:type="dxa"/>
        </w:tblCellMar>
      </w:tblPr>
      <w:tblGrid>
        <w:gridCol w:w="567"/>
        <w:gridCol w:w="567"/>
        <w:gridCol w:w="567"/>
        <w:gridCol w:w="567"/>
        <w:gridCol w:w="567"/>
        <w:gridCol w:w="567"/>
        <w:gridCol w:w="567"/>
        <w:gridCol w:w="567"/>
        <w:gridCol w:w="567"/>
        <w:gridCol w:w="567"/>
        <w:gridCol w:w="567"/>
        <w:gridCol w:w="567"/>
        <w:gridCol w:w="567"/>
        <w:gridCol w:w="567"/>
        <w:gridCol w:w="567"/>
      </w:tblGrid>
      <w:tr w14:paraId="59A4B083">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120" w:type="dxa"/>
            <w:bottom w:w="60" w:type="dxa"/>
            <w:right w:w="120" w:type="dxa"/>
          </w:tblCellMar>
        </w:tblPrEx>
        <w:tc>
          <w:tcPr>
            <w:tcW w:w="567" w:type="dxa"/>
            <w:gridSpan w:val="5"/>
            <w:tcBorders>
              <w:top w:val="single" w:color="auto" w:sz="4" w:space="0"/>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65A1899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left="0" w:right="0" w:firstLine="0"/>
              <w:jc w:val="center"/>
              <w:textAlignment w:val="auto"/>
              <w:rPr>
                <w:sz w:val="28"/>
                <w:szCs w:val="28"/>
              </w:rPr>
            </w:pPr>
            <w:r>
              <w:rPr>
                <w:rFonts w:hint="eastAsia" w:ascii="宋体" w:hAnsi="宋体" w:eastAsia="宋体" w:cs="宋体"/>
                <w:spacing w:val="0"/>
                <w:sz w:val="18"/>
                <w:szCs w:val="18"/>
              </w:rPr>
              <w:t>行政复议</w:t>
            </w:r>
          </w:p>
        </w:tc>
        <w:tc>
          <w:tcPr>
            <w:tcW w:w="567" w:type="dxa"/>
            <w:gridSpan w:val="10"/>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5B8DEE4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left="0" w:right="0" w:firstLine="0"/>
              <w:jc w:val="center"/>
              <w:textAlignment w:val="auto"/>
              <w:rPr>
                <w:sz w:val="28"/>
                <w:szCs w:val="28"/>
              </w:rPr>
            </w:pPr>
            <w:r>
              <w:rPr>
                <w:rFonts w:hint="eastAsia" w:ascii="宋体" w:hAnsi="宋体" w:eastAsia="宋体" w:cs="宋体"/>
                <w:spacing w:val="0"/>
                <w:sz w:val="18"/>
                <w:szCs w:val="18"/>
              </w:rPr>
              <w:t>行政诉讼</w:t>
            </w:r>
          </w:p>
        </w:tc>
      </w:tr>
      <w:tr w14:paraId="6EB881E4">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rPr>
          <w:trHeight w:val="468" w:hRule="atLeast"/>
        </w:trPr>
        <w:tc>
          <w:tcPr>
            <w:tcW w:w="567" w:type="dxa"/>
            <w:vMerge w:val="restart"/>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1E0A677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sz w:val="28"/>
                <w:szCs w:val="28"/>
              </w:rPr>
            </w:pPr>
            <w:r>
              <w:rPr>
                <w:rFonts w:hint="eastAsia" w:ascii="宋体" w:hAnsi="宋体" w:eastAsia="宋体" w:cs="宋体"/>
                <w:spacing w:val="0"/>
                <w:sz w:val="18"/>
                <w:szCs w:val="18"/>
              </w:rPr>
              <w:t>结果维持</w:t>
            </w:r>
          </w:p>
        </w:tc>
        <w:tc>
          <w:tcPr>
            <w:tcW w:w="567" w:type="dxa"/>
            <w:vMerge w:val="restart"/>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A49635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sz w:val="28"/>
                <w:szCs w:val="28"/>
              </w:rPr>
            </w:pPr>
            <w:r>
              <w:rPr>
                <w:rFonts w:hint="eastAsia" w:ascii="宋体" w:hAnsi="宋体" w:eastAsia="宋体" w:cs="宋体"/>
                <w:spacing w:val="0"/>
                <w:sz w:val="18"/>
                <w:szCs w:val="18"/>
              </w:rPr>
              <w:t>结果纠正</w:t>
            </w:r>
          </w:p>
        </w:tc>
        <w:tc>
          <w:tcPr>
            <w:tcW w:w="567" w:type="dxa"/>
            <w:vMerge w:val="restart"/>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736BF6F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sz w:val="28"/>
                <w:szCs w:val="28"/>
              </w:rPr>
            </w:pPr>
            <w:r>
              <w:rPr>
                <w:rFonts w:hint="eastAsia" w:ascii="宋体" w:hAnsi="宋体" w:eastAsia="宋体" w:cs="宋体"/>
                <w:spacing w:val="0"/>
                <w:sz w:val="18"/>
                <w:szCs w:val="18"/>
              </w:rPr>
              <w:t>其他结果</w:t>
            </w:r>
          </w:p>
        </w:tc>
        <w:tc>
          <w:tcPr>
            <w:tcW w:w="567" w:type="dxa"/>
            <w:vMerge w:val="restart"/>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447137B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sz w:val="28"/>
                <w:szCs w:val="28"/>
              </w:rPr>
            </w:pPr>
            <w:r>
              <w:rPr>
                <w:rFonts w:hint="eastAsia" w:ascii="宋体" w:hAnsi="宋体" w:eastAsia="宋体" w:cs="宋体"/>
                <w:spacing w:val="0"/>
                <w:sz w:val="18"/>
                <w:szCs w:val="18"/>
              </w:rPr>
              <w:t>尚未审结</w:t>
            </w:r>
          </w:p>
        </w:tc>
        <w:tc>
          <w:tcPr>
            <w:tcW w:w="567" w:type="dxa"/>
            <w:vMerge w:val="restart"/>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142665C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sz w:val="28"/>
                <w:szCs w:val="28"/>
              </w:rPr>
            </w:pPr>
            <w:r>
              <w:rPr>
                <w:rFonts w:hint="eastAsia" w:ascii="宋体" w:hAnsi="宋体" w:eastAsia="宋体" w:cs="宋体"/>
                <w:spacing w:val="0"/>
                <w:sz w:val="18"/>
                <w:szCs w:val="18"/>
              </w:rPr>
              <w:t>总计</w:t>
            </w:r>
          </w:p>
        </w:tc>
        <w:tc>
          <w:tcPr>
            <w:tcW w:w="567" w:type="dxa"/>
            <w:gridSpan w:val="5"/>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251F6C2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left="0" w:right="0" w:firstLine="0"/>
              <w:jc w:val="center"/>
              <w:textAlignment w:val="auto"/>
              <w:rPr>
                <w:sz w:val="28"/>
                <w:szCs w:val="28"/>
              </w:rPr>
            </w:pPr>
            <w:r>
              <w:rPr>
                <w:rFonts w:hint="eastAsia" w:ascii="宋体" w:hAnsi="宋体" w:eastAsia="宋体" w:cs="宋体"/>
                <w:spacing w:val="0"/>
                <w:sz w:val="18"/>
                <w:szCs w:val="18"/>
              </w:rPr>
              <w:t>未经复议直接起诉</w:t>
            </w:r>
          </w:p>
        </w:tc>
        <w:tc>
          <w:tcPr>
            <w:tcW w:w="567" w:type="dxa"/>
            <w:gridSpan w:val="5"/>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2922F89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left="0" w:right="0" w:firstLine="0"/>
              <w:jc w:val="center"/>
              <w:textAlignment w:val="auto"/>
              <w:rPr>
                <w:sz w:val="28"/>
                <w:szCs w:val="28"/>
              </w:rPr>
            </w:pPr>
            <w:r>
              <w:rPr>
                <w:rFonts w:hint="eastAsia" w:ascii="宋体" w:hAnsi="宋体" w:eastAsia="宋体" w:cs="宋体"/>
                <w:spacing w:val="0"/>
                <w:sz w:val="18"/>
                <w:szCs w:val="18"/>
              </w:rPr>
              <w:t>复议后起诉</w:t>
            </w:r>
          </w:p>
        </w:tc>
      </w:tr>
      <w:tr w14:paraId="6306B835">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shd w:val="clear" w:color="auto" w:fill="auto"/>
          <w:tblCellMar>
            <w:top w:w="0" w:type="dxa"/>
            <w:left w:w="120" w:type="dxa"/>
            <w:bottom w:w="60" w:type="dxa"/>
            <w:right w:w="120" w:type="dxa"/>
          </w:tblCellMar>
        </w:tblPrEx>
        <w:tc>
          <w:tcPr>
            <w:tcW w:w="567" w:type="dxa"/>
            <w:vMerge w:val="continue"/>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061C1272">
            <w:pPr>
              <w:keepNext w:val="0"/>
              <w:keepLines w:val="0"/>
              <w:pageBreakBefore w:val="0"/>
              <w:widowControl/>
              <w:kinsoku/>
              <w:overflowPunct/>
              <w:topLinePunct w:val="0"/>
              <w:autoSpaceDE/>
              <w:autoSpaceDN/>
              <w:bidi w:val="0"/>
              <w:adjustRightInd/>
              <w:snapToGrid/>
              <w:ind w:firstLine="0"/>
              <w:jc w:val="center"/>
              <w:textAlignment w:val="auto"/>
              <w:rPr>
                <w:rFonts w:hint="eastAsia" w:ascii="宋体"/>
                <w:sz w:val="28"/>
                <w:szCs w:val="28"/>
              </w:rPr>
            </w:pPr>
          </w:p>
        </w:tc>
        <w:tc>
          <w:tcPr>
            <w:tcW w:w="567" w:type="dxa"/>
            <w:vMerge w:val="continue"/>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5A21FA6">
            <w:pPr>
              <w:keepNext w:val="0"/>
              <w:keepLines w:val="0"/>
              <w:pageBreakBefore w:val="0"/>
              <w:widowControl/>
              <w:kinsoku/>
              <w:overflowPunct/>
              <w:topLinePunct w:val="0"/>
              <w:autoSpaceDE/>
              <w:autoSpaceDN/>
              <w:bidi w:val="0"/>
              <w:adjustRightInd/>
              <w:snapToGrid/>
              <w:ind w:firstLine="0"/>
              <w:jc w:val="center"/>
              <w:textAlignment w:val="auto"/>
              <w:rPr>
                <w:rFonts w:hint="eastAsia" w:ascii="宋体"/>
                <w:sz w:val="28"/>
                <w:szCs w:val="28"/>
              </w:rPr>
            </w:pPr>
          </w:p>
        </w:tc>
        <w:tc>
          <w:tcPr>
            <w:tcW w:w="567" w:type="dxa"/>
            <w:vMerge w:val="continue"/>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323402EE">
            <w:pPr>
              <w:keepNext w:val="0"/>
              <w:keepLines w:val="0"/>
              <w:pageBreakBefore w:val="0"/>
              <w:widowControl/>
              <w:kinsoku/>
              <w:overflowPunct/>
              <w:topLinePunct w:val="0"/>
              <w:autoSpaceDE/>
              <w:autoSpaceDN/>
              <w:bidi w:val="0"/>
              <w:adjustRightInd/>
              <w:snapToGrid/>
              <w:ind w:firstLine="0"/>
              <w:jc w:val="center"/>
              <w:textAlignment w:val="auto"/>
              <w:rPr>
                <w:rFonts w:hint="eastAsia" w:ascii="宋体"/>
                <w:sz w:val="28"/>
                <w:szCs w:val="28"/>
              </w:rPr>
            </w:pPr>
          </w:p>
        </w:tc>
        <w:tc>
          <w:tcPr>
            <w:tcW w:w="567" w:type="dxa"/>
            <w:vMerge w:val="continue"/>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201198A2">
            <w:pPr>
              <w:keepNext w:val="0"/>
              <w:keepLines w:val="0"/>
              <w:pageBreakBefore w:val="0"/>
              <w:widowControl/>
              <w:kinsoku/>
              <w:overflowPunct/>
              <w:topLinePunct w:val="0"/>
              <w:autoSpaceDE/>
              <w:autoSpaceDN/>
              <w:bidi w:val="0"/>
              <w:adjustRightInd/>
              <w:snapToGrid/>
              <w:ind w:firstLine="0"/>
              <w:jc w:val="center"/>
              <w:textAlignment w:val="auto"/>
              <w:rPr>
                <w:rFonts w:hint="eastAsia" w:ascii="宋体"/>
                <w:sz w:val="28"/>
                <w:szCs w:val="28"/>
              </w:rPr>
            </w:pPr>
          </w:p>
        </w:tc>
        <w:tc>
          <w:tcPr>
            <w:tcW w:w="567" w:type="dxa"/>
            <w:vMerge w:val="continue"/>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317D46EB">
            <w:pPr>
              <w:keepNext w:val="0"/>
              <w:keepLines w:val="0"/>
              <w:pageBreakBefore w:val="0"/>
              <w:widowControl/>
              <w:kinsoku/>
              <w:overflowPunct/>
              <w:topLinePunct w:val="0"/>
              <w:autoSpaceDE/>
              <w:autoSpaceDN/>
              <w:bidi w:val="0"/>
              <w:adjustRightInd/>
              <w:snapToGrid/>
              <w:ind w:firstLine="0"/>
              <w:jc w:val="center"/>
              <w:textAlignment w:val="auto"/>
              <w:rPr>
                <w:rFonts w:hint="eastAsia" w:ascii="宋体"/>
                <w:sz w:val="28"/>
                <w:szCs w:val="28"/>
              </w:rPr>
            </w:pP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0DBBED0">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结果维持</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8BBA9A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结果纠正</w:t>
            </w:r>
          </w:p>
        </w:tc>
        <w:tc>
          <w:tcPr>
            <w:tcW w:w="567" w:type="dxa"/>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6F1ED0D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其他结果</w:t>
            </w:r>
          </w:p>
        </w:tc>
        <w:tc>
          <w:tcPr>
            <w:tcW w:w="567" w:type="dxa"/>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778B4EE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尚未审结</w:t>
            </w:r>
          </w:p>
        </w:tc>
        <w:tc>
          <w:tcPr>
            <w:tcW w:w="567" w:type="dxa"/>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74D34FF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总计</w:t>
            </w:r>
          </w:p>
        </w:tc>
        <w:tc>
          <w:tcPr>
            <w:tcW w:w="567" w:type="dxa"/>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1786639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结果维持</w:t>
            </w:r>
          </w:p>
        </w:tc>
        <w:tc>
          <w:tcPr>
            <w:tcW w:w="567" w:type="dxa"/>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0AF493F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结果纠正</w:t>
            </w:r>
          </w:p>
        </w:tc>
        <w:tc>
          <w:tcPr>
            <w:tcW w:w="567" w:type="dxa"/>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28E88DF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其他结果</w:t>
            </w:r>
          </w:p>
        </w:tc>
        <w:tc>
          <w:tcPr>
            <w:tcW w:w="567" w:type="dxa"/>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0664BB3C">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尚未审结</w:t>
            </w:r>
          </w:p>
        </w:tc>
        <w:tc>
          <w:tcPr>
            <w:tcW w:w="567" w:type="dxa"/>
            <w:tcBorders>
              <w:top w:val="single" w:color="auto" w:sz="4" w:space="0"/>
              <w:left w:val="nil"/>
              <w:bottom w:val="single" w:color="auto" w:sz="4" w:space="0"/>
              <w:right w:val="single" w:color="auto" w:sz="4" w:space="0"/>
            </w:tcBorders>
            <w:shd w:val="clear" w:color="auto" w:fill="auto"/>
            <w:tcMar>
              <w:top w:w="60" w:type="dxa"/>
              <w:left w:w="60" w:type="dxa"/>
              <w:right w:w="60" w:type="dxa"/>
            </w:tcMar>
            <w:vAlign w:val="center"/>
          </w:tcPr>
          <w:p w14:paraId="5A0BB685">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总计</w:t>
            </w:r>
          </w:p>
        </w:tc>
      </w:tr>
      <w:tr w14:paraId="15478541">
        <w:tblPrEx>
          <w:tblBorders>
            <w:top w:val="outset" w:color="333333" w:sz="6" w:space="0"/>
            <w:left w:val="outset" w:color="333333" w:sz="6" w:space="0"/>
            <w:bottom w:val="outset" w:color="333333" w:sz="6" w:space="0"/>
            <w:right w:val="outset" w:color="333333" w:sz="6" w:space="0"/>
            <w:insideH w:val="outset" w:color="auto" w:sz="6" w:space="0"/>
            <w:insideV w:val="outset" w:color="auto" w:sz="6" w:space="0"/>
          </w:tblBorders>
          <w:tblCellMar>
            <w:top w:w="0" w:type="dxa"/>
            <w:left w:w="120" w:type="dxa"/>
            <w:bottom w:w="60" w:type="dxa"/>
            <w:right w:w="120" w:type="dxa"/>
          </w:tblCellMar>
        </w:tblPrEx>
        <w:tc>
          <w:tcPr>
            <w:tcW w:w="567" w:type="dxa"/>
            <w:tcBorders>
              <w:top w:val="nil"/>
              <w:left w:val="single" w:color="auto" w:sz="4" w:space="0"/>
              <w:bottom w:val="single" w:color="auto" w:sz="4" w:space="0"/>
              <w:right w:val="single" w:color="auto" w:sz="4" w:space="0"/>
            </w:tcBorders>
            <w:shd w:val="clear" w:color="auto" w:fill="auto"/>
            <w:tcMar>
              <w:top w:w="60" w:type="dxa"/>
              <w:left w:w="60" w:type="dxa"/>
              <w:right w:w="60" w:type="dxa"/>
            </w:tcMar>
            <w:vAlign w:val="center"/>
          </w:tcPr>
          <w:p w14:paraId="0CA211F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sz w:val="28"/>
                <w:szCs w:val="28"/>
              </w:rPr>
            </w:pPr>
            <w:r>
              <w:rPr>
                <w:rFonts w:hint="eastAsia" w:ascii="宋体" w:hAnsi="宋体" w:eastAsia="宋体" w:cs="宋体"/>
                <w:spacing w:val="0"/>
                <w:sz w:val="18"/>
                <w:szCs w:val="18"/>
              </w:rPr>
              <w:t>0</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D0D9A4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sz w:val="28"/>
                <w:szCs w:val="28"/>
              </w:rPr>
            </w:pPr>
            <w:r>
              <w:rPr>
                <w:rFonts w:hint="eastAsia" w:ascii="宋体" w:hAnsi="宋体" w:eastAsia="宋体" w:cs="宋体"/>
                <w:spacing w:val="0"/>
                <w:sz w:val="18"/>
                <w:szCs w:val="18"/>
              </w:rPr>
              <w:t>0</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1DEB1B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sz w:val="28"/>
                <w:szCs w:val="28"/>
              </w:rPr>
            </w:pPr>
            <w:r>
              <w:rPr>
                <w:rFonts w:hint="eastAsia" w:ascii="宋体" w:hAnsi="宋体" w:eastAsia="宋体" w:cs="宋体"/>
                <w:spacing w:val="0"/>
                <w:sz w:val="18"/>
                <w:szCs w:val="18"/>
              </w:rPr>
              <w:t>0</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4B6BFF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sz w:val="28"/>
                <w:szCs w:val="28"/>
              </w:rPr>
            </w:pPr>
            <w:r>
              <w:rPr>
                <w:rFonts w:hint="eastAsia" w:ascii="宋体" w:hAnsi="宋体" w:eastAsia="宋体" w:cs="宋体"/>
                <w:spacing w:val="0"/>
                <w:sz w:val="18"/>
                <w:szCs w:val="18"/>
              </w:rPr>
              <w:t>0</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DE14A6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sz w:val="28"/>
                <w:szCs w:val="28"/>
              </w:rPr>
            </w:pPr>
            <w:r>
              <w:rPr>
                <w:rFonts w:hint="eastAsia" w:ascii="宋体" w:hAnsi="宋体" w:eastAsia="宋体" w:cs="宋体"/>
                <w:spacing w:val="0"/>
                <w:sz w:val="18"/>
                <w:szCs w:val="18"/>
              </w:rPr>
              <w:t>0</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5130B6F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0</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304F92F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left="0"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0</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2C957B5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left="0"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0</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7FDBE1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left="0"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0</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67D78E6E">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left="0"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0</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10E1268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left="0"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0</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7E4025C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left="0"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0</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4833A2F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left="0"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0</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F34DFE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left="0"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0</w:t>
            </w:r>
          </w:p>
        </w:tc>
        <w:tc>
          <w:tcPr>
            <w:tcW w:w="567" w:type="dxa"/>
            <w:tcBorders>
              <w:top w:val="nil"/>
              <w:left w:val="nil"/>
              <w:bottom w:val="single" w:color="auto" w:sz="4" w:space="0"/>
              <w:right w:val="single" w:color="auto" w:sz="4" w:space="0"/>
            </w:tcBorders>
            <w:shd w:val="clear" w:color="auto" w:fill="auto"/>
            <w:tcMar>
              <w:top w:w="60" w:type="dxa"/>
              <w:left w:w="60" w:type="dxa"/>
              <w:right w:w="60" w:type="dxa"/>
            </w:tcMar>
            <w:vAlign w:val="center"/>
          </w:tcPr>
          <w:p w14:paraId="073931E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252" w:lineRule="atLeast"/>
              <w:ind w:left="0" w:right="0" w:firstLine="0"/>
              <w:jc w:val="center"/>
              <w:textAlignment w:val="auto"/>
              <w:rPr>
                <w:rFonts w:hint="eastAsia" w:ascii="宋体" w:hAnsi="宋体" w:eastAsia="宋体" w:cs="宋体"/>
                <w:spacing w:val="0"/>
                <w:sz w:val="18"/>
                <w:szCs w:val="18"/>
              </w:rPr>
            </w:pPr>
            <w:r>
              <w:rPr>
                <w:rFonts w:hint="eastAsia" w:ascii="宋体" w:hAnsi="宋体" w:eastAsia="宋体" w:cs="宋体"/>
                <w:spacing w:val="0"/>
                <w:sz w:val="18"/>
                <w:szCs w:val="18"/>
              </w:rPr>
              <w:t>0</w:t>
            </w:r>
          </w:p>
        </w:tc>
      </w:tr>
    </w:tbl>
    <w:p w14:paraId="0EDF0215">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firstLine="420"/>
        <w:jc w:val="both"/>
        <w:textAlignment w:val="auto"/>
        <w:rPr>
          <w:rFonts w:hint="eastAsia" w:ascii="黑体" w:hAnsi="黑体" w:eastAsia="黑体" w:cs="黑体"/>
          <w:sz w:val="32"/>
          <w:szCs w:val="32"/>
          <w:shd w:val="clear" w:fill="FFFFFF"/>
          <w:lang w:val="en-US" w:eastAsia="zh-CN"/>
        </w:rPr>
      </w:pPr>
      <w:r>
        <w:rPr>
          <w:rFonts w:hint="eastAsia" w:ascii="黑体" w:hAnsi="黑体" w:eastAsia="黑体" w:cs="黑体"/>
          <w:sz w:val="32"/>
          <w:szCs w:val="32"/>
          <w:shd w:val="clear" w:fill="FFFFFF"/>
        </w:rPr>
        <w:t>五、存在</w:t>
      </w:r>
      <w:r>
        <w:rPr>
          <w:rFonts w:hint="eastAsia" w:ascii="黑体" w:hAnsi="黑体" w:eastAsia="黑体" w:cs="黑体"/>
          <w:sz w:val="32"/>
          <w:szCs w:val="32"/>
          <w:shd w:val="clear" w:fill="FFFFFF"/>
          <w:lang w:val="en-US" w:eastAsia="zh-CN"/>
        </w:rPr>
        <w:t>的</w:t>
      </w:r>
      <w:r>
        <w:rPr>
          <w:rFonts w:hint="eastAsia" w:ascii="黑体" w:hAnsi="黑体" w:eastAsia="黑体" w:cs="黑体"/>
          <w:sz w:val="32"/>
          <w:szCs w:val="32"/>
          <w:shd w:val="clear" w:fill="FFFFFF"/>
        </w:rPr>
        <w:t>问题</w:t>
      </w:r>
      <w:r>
        <w:rPr>
          <w:rFonts w:hint="eastAsia" w:ascii="黑体" w:hAnsi="黑体" w:eastAsia="黑体" w:cs="黑体"/>
          <w:sz w:val="32"/>
          <w:szCs w:val="32"/>
          <w:shd w:val="clear" w:fill="FFFFFF"/>
          <w:lang w:val="en-US" w:eastAsia="zh-CN"/>
        </w:rPr>
        <w:t>和整改措施</w:t>
      </w:r>
    </w:p>
    <w:p w14:paraId="0CCDF7EE">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spacing w:val="0"/>
          <w:sz w:val="32"/>
          <w:szCs w:val="32"/>
          <w:shd w:val="clear" w:fill="FFFFFF"/>
          <w:lang w:val="en-US" w:eastAsia="zh-CN"/>
        </w:rPr>
      </w:pPr>
      <w:r>
        <w:rPr>
          <w:rFonts w:hint="eastAsia" w:ascii="仿宋_GB2312" w:hAnsi="仿宋_GB2312" w:eastAsia="仿宋_GB2312" w:cs="仿宋_GB2312"/>
          <w:b w:val="0"/>
          <w:bCs w:val="0"/>
          <w:spacing w:val="0"/>
          <w:sz w:val="32"/>
          <w:szCs w:val="32"/>
          <w:shd w:val="clear" w:fill="FFFFFF"/>
          <w:lang w:val="en-US" w:eastAsia="zh-CN"/>
        </w:rPr>
        <w:t>2024年，滕州市商务和投资促进局政务公开工作取得了新的进展，但仍存在以下问题：一是部分信息公开不够及时；二是涉企惠企政策到达率、知晓率以及政策解读方式的多样性精准性还有差距；三是公开平台管理还需进一步加强。</w:t>
      </w:r>
    </w:p>
    <w:p w14:paraId="7FC4F08B">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spacing w:val="0"/>
          <w:sz w:val="32"/>
          <w:szCs w:val="32"/>
          <w:shd w:val="clear" w:fill="FFFFFF"/>
          <w:lang w:val="en-US" w:eastAsia="zh-CN"/>
        </w:rPr>
      </w:pPr>
      <w:r>
        <w:rPr>
          <w:rFonts w:hint="eastAsia" w:ascii="仿宋_GB2312" w:hAnsi="仿宋_GB2312" w:eastAsia="仿宋_GB2312" w:cs="仿宋_GB2312"/>
          <w:b w:val="0"/>
          <w:bCs w:val="0"/>
          <w:spacing w:val="0"/>
          <w:sz w:val="32"/>
          <w:szCs w:val="32"/>
          <w:shd w:val="clear" w:fill="FFFFFF"/>
          <w:lang w:val="en-US" w:eastAsia="zh-CN"/>
        </w:rPr>
        <w:t>2025年我们将从以下几方面改进工作：</w:t>
      </w:r>
    </w:p>
    <w:p w14:paraId="07BDBE0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spacing w:val="0"/>
          <w:sz w:val="32"/>
          <w:szCs w:val="32"/>
          <w:shd w:val="clear" w:fill="FFFFFF"/>
          <w:lang w:val="en-US" w:eastAsia="zh-CN"/>
        </w:rPr>
      </w:pPr>
      <w:r>
        <w:rPr>
          <w:rFonts w:hint="eastAsia" w:ascii="仿宋_GB2312" w:hAnsi="仿宋_GB2312" w:eastAsia="仿宋_GB2312" w:cs="仿宋_GB2312"/>
          <w:b w:val="0"/>
          <w:bCs w:val="0"/>
          <w:spacing w:val="0"/>
          <w:sz w:val="32"/>
          <w:szCs w:val="32"/>
          <w:shd w:val="clear" w:fill="FFFFFF"/>
          <w:lang w:val="en-US" w:eastAsia="zh-CN"/>
        </w:rPr>
        <w:t>一是进一步强化组织领导。定期检查信息质量和成效，动员全局干部及时撰写政务工作信息，主动推送政务工作动态，形成全局横向联动、齐抓共管的信息报送工作格局。</w:t>
      </w:r>
    </w:p>
    <w:p w14:paraId="2380EEF0">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spacing w:val="0"/>
          <w:sz w:val="32"/>
          <w:szCs w:val="32"/>
          <w:shd w:val="clear" w:fill="FFFFFF"/>
          <w:lang w:val="en-US" w:eastAsia="zh-CN"/>
        </w:rPr>
      </w:pPr>
      <w:r>
        <w:rPr>
          <w:rFonts w:hint="eastAsia" w:ascii="仿宋_GB2312" w:hAnsi="仿宋_GB2312" w:eastAsia="仿宋_GB2312" w:cs="仿宋_GB2312"/>
          <w:b w:val="0"/>
          <w:bCs w:val="0"/>
          <w:spacing w:val="0"/>
          <w:sz w:val="32"/>
          <w:szCs w:val="32"/>
          <w:shd w:val="clear" w:fill="FFFFFF"/>
          <w:lang w:val="en-US" w:eastAsia="zh-CN"/>
        </w:rPr>
        <w:t>二是持续创新政策解读形式，立足企业群众视角开展多层次解读，注重对政策背景、出台目的、重要举措等方面的重点内容解读，提升政策信息公开质量和效益。</w:t>
      </w:r>
    </w:p>
    <w:p w14:paraId="0061F88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hAnsi="仿宋_GB2312" w:eastAsia="仿宋_GB2312" w:cs="仿宋_GB2312"/>
          <w:b w:val="0"/>
          <w:bCs w:val="0"/>
          <w:spacing w:val="0"/>
          <w:sz w:val="32"/>
          <w:szCs w:val="32"/>
          <w:shd w:val="clear" w:fill="FFFFFF"/>
          <w:lang w:val="en-US" w:eastAsia="zh-CN"/>
        </w:rPr>
      </w:pPr>
      <w:r>
        <w:rPr>
          <w:rFonts w:hint="eastAsia" w:ascii="仿宋_GB2312" w:hAnsi="仿宋_GB2312" w:eastAsia="仿宋_GB2312" w:cs="仿宋_GB2312"/>
          <w:b w:val="0"/>
          <w:bCs w:val="0"/>
          <w:spacing w:val="0"/>
          <w:sz w:val="32"/>
          <w:szCs w:val="32"/>
          <w:shd w:val="clear" w:fill="FFFFFF"/>
          <w:lang w:val="en-US" w:eastAsia="zh-CN"/>
        </w:rPr>
        <w:t>三是抓好信息公开重点内容。重点对商务指标运行、外贸进出口、外资利用、消费提振、电子商务等重点工作进行及时公开，进一步展现商务工作风采和成效。</w:t>
      </w:r>
    </w:p>
    <w:p w14:paraId="7D9D177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firstLine="420"/>
        <w:jc w:val="both"/>
        <w:textAlignment w:val="auto"/>
        <w:rPr>
          <w:rFonts w:hint="eastAsia" w:ascii="黑体" w:hAnsi="黑体" w:eastAsia="黑体" w:cs="黑体"/>
          <w:sz w:val="32"/>
          <w:szCs w:val="32"/>
          <w:shd w:val="clear" w:fill="FFFFFF"/>
          <w:lang w:val="en-US" w:eastAsia="zh-CN"/>
        </w:rPr>
      </w:pPr>
      <w:r>
        <w:rPr>
          <w:rFonts w:hint="eastAsia" w:ascii="黑体" w:hAnsi="黑体" w:eastAsia="黑体" w:cs="黑体"/>
          <w:sz w:val="32"/>
          <w:szCs w:val="32"/>
          <w:shd w:val="clear" w:fill="FFFFFF"/>
          <w:lang w:val="en-US" w:eastAsia="zh-CN"/>
        </w:rPr>
        <w:t>六、其他需要报告的事项</w:t>
      </w:r>
    </w:p>
    <w:p w14:paraId="5BCBE9E6">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504"/>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shd w:val="clear" w:fill="FFFFFF"/>
        </w:rPr>
        <w:t>1.收取信息处理费情况方面。</w:t>
      </w:r>
      <w:r>
        <w:rPr>
          <w:rFonts w:hint="eastAsia" w:ascii="仿宋_GB2312" w:hAnsi="仿宋_GB2312" w:eastAsia="仿宋_GB2312" w:cs="仿宋_GB2312"/>
          <w:spacing w:val="0"/>
          <w:sz w:val="32"/>
          <w:szCs w:val="32"/>
          <w:shd w:val="clear" w:fill="FFFFFF"/>
          <w:lang w:eastAsia="zh-CN"/>
        </w:rPr>
        <w:t>2024年</w:t>
      </w:r>
      <w:r>
        <w:rPr>
          <w:rFonts w:hint="eastAsia" w:ascii="仿宋_GB2312" w:hAnsi="仿宋_GB2312" w:eastAsia="仿宋_GB2312" w:cs="仿宋_GB2312"/>
          <w:spacing w:val="0"/>
          <w:sz w:val="32"/>
          <w:szCs w:val="32"/>
          <w:shd w:val="clear" w:fill="FFFFFF"/>
        </w:rPr>
        <w:t>度，本单位未收取信息处理费；</w:t>
      </w:r>
    </w:p>
    <w:p w14:paraId="40BB554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504"/>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shd w:val="clear" w:fill="FFFFFF"/>
        </w:rPr>
        <w:t>2.落实上级年度政务公开工作要点情况。对照《枣庄市</w:t>
      </w:r>
      <w:r>
        <w:rPr>
          <w:rFonts w:hint="eastAsia" w:ascii="仿宋_GB2312" w:hAnsi="仿宋_GB2312" w:eastAsia="仿宋_GB2312" w:cs="仿宋_GB2312"/>
          <w:spacing w:val="0"/>
          <w:sz w:val="32"/>
          <w:szCs w:val="32"/>
          <w:shd w:val="clear" w:fill="FFFFFF"/>
          <w:lang w:eastAsia="zh-CN"/>
        </w:rPr>
        <w:t>2024年</w:t>
      </w:r>
      <w:r>
        <w:rPr>
          <w:rFonts w:hint="eastAsia" w:ascii="仿宋_GB2312" w:hAnsi="仿宋_GB2312" w:eastAsia="仿宋_GB2312" w:cs="仿宋_GB2312"/>
          <w:spacing w:val="0"/>
          <w:sz w:val="32"/>
          <w:szCs w:val="32"/>
          <w:shd w:val="clear" w:fill="FFFFFF"/>
        </w:rPr>
        <w:t>政务公开政务公开工作要点》和《滕州市</w:t>
      </w:r>
      <w:r>
        <w:rPr>
          <w:rFonts w:hint="eastAsia" w:ascii="仿宋_GB2312" w:hAnsi="仿宋_GB2312" w:eastAsia="仿宋_GB2312" w:cs="仿宋_GB2312"/>
          <w:spacing w:val="0"/>
          <w:sz w:val="32"/>
          <w:szCs w:val="32"/>
          <w:shd w:val="clear" w:fill="FFFFFF"/>
          <w:lang w:eastAsia="zh-CN"/>
        </w:rPr>
        <w:t>2024年</w:t>
      </w:r>
      <w:r>
        <w:rPr>
          <w:rFonts w:hint="eastAsia" w:ascii="仿宋_GB2312" w:hAnsi="仿宋_GB2312" w:eastAsia="仿宋_GB2312" w:cs="仿宋_GB2312"/>
          <w:spacing w:val="0"/>
          <w:sz w:val="32"/>
          <w:szCs w:val="32"/>
          <w:shd w:val="clear" w:fill="FFFFFF"/>
        </w:rPr>
        <w:t>政务公开工作要点》，围绕重点领域信息公开、政策发布解读与回应、政民互动、基层政务公开标准化规范化建设和工作保障和落实逐项明确责任主体和完成时限。</w:t>
      </w:r>
    </w:p>
    <w:p w14:paraId="43E7BBD2">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504"/>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shd w:val="clear" w:fill="FFFFFF"/>
        </w:rPr>
        <w:t>3.人大代表建议和政协提案办理情况方面。</w:t>
      </w:r>
      <w:r>
        <w:rPr>
          <w:rFonts w:hint="eastAsia" w:ascii="仿宋_GB2312" w:hAnsi="仿宋_GB2312" w:eastAsia="仿宋_GB2312" w:cs="仿宋_GB2312"/>
          <w:spacing w:val="0"/>
          <w:sz w:val="32"/>
          <w:szCs w:val="32"/>
          <w:shd w:val="clear" w:fill="FFFFFF"/>
          <w:lang w:eastAsia="zh-CN"/>
        </w:rPr>
        <w:t>2024年</w:t>
      </w:r>
      <w:r>
        <w:rPr>
          <w:rFonts w:hint="eastAsia" w:ascii="仿宋_GB2312" w:hAnsi="仿宋_GB2312" w:eastAsia="仿宋_GB2312" w:cs="仿宋_GB2312"/>
          <w:spacing w:val="0"/>
          <w:sz w:val="32"/>
          <w:szCs w:val="32"/>
          <w:shd w:val="clear" w:fill="FFFFFF"/>
        </w:rPr>
        <w:t>，市商务和投资促进局承办人大代表建议</w:t>
      </w:r>
      <w:r>
        <w:rPr>
          <w:rFonts w:hint="eastAsia" w:ascii="仿宋_GB2312" w:hAnsi="仿宋_GB2312" w:eastAsia="仿宋_GB2312" w:cs="仿宋_GB2312"/>
          <w:spacing w:val="0"/>
          <w:sz w:val="32"/>
          <w:szCs w:val="32"/>
          <w:shd w:val="clear" w:fill="FFFFFF"/>
          <w:lang w:val="en-US" w:eastAsia="zh-CN"/>
        </w:rPr>
        <w:t>7</w:t>
      </w:r>
      <w:r>
        <w:rPr>
          <w:rFonts w:hint="eastAsia" w:ascii="仿宋_GB2312" w:hAnsi="仿宋_GB2312" w:eastAsia="仿宋_GB2312" w:cs="仿宋_GB2312"/>
          <w:spacing w:val="0"/>
          <w:sz w:val="32"/>
          <w:szCs w:val="32"/>
          <w:shd w:val="clear" w:fill="FFFFFF"/>
        </w:rPr>
        <w:t>件、政协提案</w:t>
      </w:r>
      <w:r>
        <w:rPr>
          <w:rFonts w:hint="eastAsia" w:ascii="仿宋_GB2312" w:hAnsi="仿宋_GB2312" w:eastAsia="仿宋_GB2312" w:cs="仿宋_GB2312"/>
          <w:spacing w:val="0"/>
          <w:sz w:val="32"/>
          <w:szCs w:val="32"/>
          <w:shd w:val="clear" w:fill="FFFFFF"/>
          <w:lang w:val="en-US" w:eastAsia="zh-CN"/>
        </w:rPr>
        <w:t>28</w:t>
      </w:r>
      <w:r>
        <w:rPr>
          <w:rFonts w:hint="eastAsia" w:ascii="仿宋_GB2312" w:hAnsi="仿宋_GB2312" w:eastAsia="仿宋_GB2312" w:cs="仿宋_GB2312"/>
          <w:spacing w:val="0"/>
          <w:sz w:val="32"/>
          <w:szCs w:val="32"/>
          <w:shd w:val="clear" w:fill="FFFFFF"/>
        </w:rPr>
        <w:t>件，均已办结；</w:t>
      </w:r>
    </w:p>
    <w:p w14:paraId="57BCF35D">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504"/>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shd w:val="clear" w:fill="FFFFFF"/>
        </w:rPr>
        <w:t>4.开展政务公开创新方面。开通</w:t>
      </w:r>
      <w:r>
        <w:rPr>
          <w:rFonts w:hint="eastAsia" w:ascii="仿宋_GB2312" w:hAnsi="仿宋_GB2312" w:eastAsia="仿宋_GB2312" w:cs="仿宋_GB2312"/>
          <w:spacing w:val="0"/>
          <w:sz w:val="32"/>
          <w:szCs w:val="32"/>
          <w:shd w:val="clear" w:fill="FFFFFF"/>
          <w:lang w:eastAsia="zh-CN"/>
        </w:rPr>
        <w:t>《</w:t>
      </w:r>
      <w:r>
        <w:rPr>
          <w:rFonts w:hint="eastAsia" w:ascii="仿宋_GB2312" w:hAnsi="仿宋_GB2312" w:eastAsia="仿宋_GB2312" w:cs="仿宋_GB2312"/>
          <w:spacing w:val="0"/>
          <w:sz w:val="32"/>
          <w:szCs w:val="32"/>
          <w:shd w:val="clear" w:fill="FFFFFF"/>
        </w:rPr>
        <w:t>滕州商务</w:t>
      </w:r>
      <w:r>
        <w:rPr>
          <w:rFonts w:hint="eastAsia" w:ascii="仿宋_GB2312" w:hAnsi="仿宋_GB2312" w:eastAsia="仿宋_GB2312" w:cs="仿宋_GB2312"/>
          <w:spacing w:val="0"/>
          <w:sz w:val="32"/>
          <w:szCs w:val="32"/>
          <w:shd w:val="clear" w:fill="FFFFFF"/>
          <w:lang w:eastAsia="zh-CN"/>
        </w:rPr>
        <w:t>》</w:t>
      </w:r>
      <w:r>
        <w:rPr>
          <w:rFonts w:hint="eastAsia" w:ascii="仿宋_GB2312" w:hAnsi="仿宋_GB2312" w:eastAsia="仿宋_GB2312" w:cs="仿宋_GB2312"/>
          <w:spacing w:val="0"/>
          <w:sz w:val="32"/>
          <w:szCs w:val="32"/>
          <w:shd w:val="clear" w:fill="FFFFFF"/>
        </w:rPr>
        <w:t>微信公众号，创新政务公开形式。</w:t>
      </w:r>
    </w:p>
    <w:p w14:paraId="015E6A09">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504"/>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shd w:val="clear" w:fill="FFFFFF"/>
        </w:rPr>
        <w:t>5.本单位政府信息公开工作年度报告数据统计需要说明的事项：无</w:t>
      </w:r>
    </w:p>
    <w:p w14:paraId="0E1A7385">
      <w:pPr>
        <w:pStyle w:val="5"/>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504"/>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pacing w:val="0"/>
          <w:sz w:val="32"/>
          <w:szCs w:val="32"/>
          <w:shd w:val="clear" w:fill="FFFFFF"/>
        </w:rPr>
        <w:t>6.其他有关文件专门要求通过政府信息公开工作年度报告予以报告的事项：无</w:t>
      </w:r>
    </w:p>
    <w:p w14:paraId="6B683D8F">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jc w:val="both"/>
        <w:textAlignment w:val="auto"/>
        <w:rPr>
          <w:sz w:val="28"/>
          <w:szCs w:val="28"/>
        </w:rPr>
      </w:pPr>
      <w:r>
        <w:rPr>
          <w:rFonts w:hint="eastAsia" w:ascii="仿宋_GB2312" w:hAnsi="仿宋_GB2312" w:eastAsia="仿宋_GB2312" w:cs="仿宋_GB2312"/>
          <w:spacing w:val="0"/>
          <w:sz w:val="32"/>
          <w:szCs w:val="32"/>
          <w:shd w:val="clear" w:fill="FFFFFF"/>
        </w:rPr>
        <w:t>  7.本报告的电子版可在“中国滕州网”（http://www.tengzhou.gov.cn/）网站查询和下载。如对本报告有任何疑问，请与滕州市商务和投资促进局办公室（研究室）联系。（地址：山东省滕州市北辛中路政务中心</w:t>
      </w:r>
      <w:r>
        <w:rPr>
          <w:rFonts w:hint="eastAsia" w:ascii="仿宋_GB2312" w:hAnsi="仿宋_GB2312" w:eastAsia="仿宋_GB2312" w:cs="仿宋_GB2312"/>
          <w:spacing w:val="0"/>
          <w:sz w:val="32"/>
          <w:szCs w:val="32"/>
          <w:shd w:val="clear" w:fill="FFFFFF"/>
          <w:lang w:val="en-US" w:eastAsia="zh-CN"/>
        </w:rPr>
        <w:t>A</w:t>
      </w:r>
      <w:bookmarkStart w:id="0" w:name="_GoBack"/>
      <w:bookmarkEnd w:id="0"/>
      <w:r>
        <w:rPr>
          <w:rFonts w:hint="eastAsia" w:ascii="仿宋_GB2312" w:hAnsi="仿宋_GB2312" w:eastAsia="仿宋_GB2312" w:cs="仿宋_GB2312"/>
          <w:spacing w:val="0"/>
          <w:sz w:val="32"/>
          <w:szCs w:val="32"/>
          <w:shd w:val="clear" w:fill="FFFFFF"/>
        </w:rPr>
        <w:t>304房间，联系电话：0632—5888304，电子邮箱：</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"mailto:tzzwgk@zz.shandong.cn%EF%BC%89%E3%80%82" </w:instrText>
      </w:r>
      <w:r>
        <w:rPr>
          <w:rFonts w:hint="eastAsia" w:ascii="仿宋_GB2312" w:hAnsi="仿宋_GB2312" w:eastAsia="仿宋_GB2312" w:cs="仿宋_GB2312"/>
          <w:sz w:val="32"/>
          <w:szCs w:val="32"/>
        </w:rPr>
        <w:fldChar w:fldCharType="separate"/>
      </w:r>
      <w:r>
        <w:rPr>
          <w:rStyle w:val="8"/>
          <w:rFonts w:hint="eastAsia" w:ascii="仿宋_GB2312" w:hAnsi="仿宋_GB2312" w:eastAsia="仿宋_GB2312" w:cs="仿宋_GB2312"/>
          <w:color w:val="333333"/>
          <w:spacing w:val="0"/>
          <w:sz w:val="32"/>
          <w:szCs w:val="32"/>
          <w:shd w:val="clear" w:fill="FFFFFF"/>
        </w:rPr>
        <w:t>tzwjmj@163.com</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pacing w:val="0"/>
          <w:sz w:val="32"/>
          <w:szCs w:val="32"/>
          <w:shd w:val="clear" w:fill="FFFFFF"/>
        </w:rPr>
        <w:t>）</w:t>
      </w:r>
      <w:r>
        <w:rPr>
          <w:rFonts w:hint="eastAsia" w:ascii="仿宋_GB2312" w:hAnsi="仿宋_GB2312" w:eastAsia="仿宋_GB2312" w:cs="仿宋_GB2312"/>
          <w:sz w:val="32"/>
          <w:szCs w:val="32"/>
        </w:rPr>
        <w:t>   </w:t>
      </w:r>
      <w:r>
        <w:rPr>
          <w:rFonts w:hint="eastAsia" w:ascii="仿宋_GB2312" w:eastAsia="仿宋_GB2312" w:cs="仿宋_GB2312"/>
          <w:sz w:val="28"/>
          <w:szCs w:val="28"/>
        </w:rPr>
        <w:t> </w:t>
      </w:r>
    </w:p>
    <w:p w14:paraId="325A5A9B">
      <w:pPr>
        <w:pStyle w:val="2"/>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600" w:lineRule="exact"/>
        <w:jc w:val="both"/>
        <w:textAlignment w:val="auto"/>
      </w:pPr>
    </w:p>
    <w:sectPr>
      <w:footerReference r:id="rId3" w:type="default"/>
      <w:pgSz w:w="11906" w:h="16838"/>
      <w:pgMar w:top="1701" w:right="1701" w:bottom="1701"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12992F-6573-41F3-8BB5-F041CE344B4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0921161-F3C0-48E3-84E8-2A7AF1387375}"/>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3" w:fontKey="{8AE956FB-5510-491C-AF3A-6A52AE390FB7}"/>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4" w:fontKey="{39C8EE0C-8A8C-49A0-8096-B0A3837F2FC9}"/>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526DD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E70DA6">
                          <w:pPr>
                            <w:pStyle w:val="3"/>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2E70DA6">
                    <w:pPr>
                      <w:pStyle w:val="3"/>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0FA0D2"/>
    <w:multiLevelType w:val="singleLevel"/>
    <w:tmpl w:val="FA0FA0D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5NGQ3ZTMyZTZjNTI2ZGJmZDk4NmNiMTkxZDg1NDEifQ=="/>
  </w:docVars>
  <w:rsids>
    <w:rsidRoot w:val="00000000"/>
    <w:rsid w:val="0031380D"/>
    <w:rsid w:val="00C14B91"/>
    <w:rsid w:val="016814B1"/>
    <w:rsid w:val="01CB0F78"/>
    <w:rsid w:val="02C92423"/>
    <w:rsid w:val="02FE031F"/>
    <w:rsid w:val="030E7E36"/>
    <w:rsid w:val="04C3012D"/>
    <w:rsid w:val="04D72BD5"/>
    <w:rsid w:val="052676B9"/>
    <w:rsid w:val="073562D9"/>
    <w:rsid w:val="07465DF0"/>
    <w:rsid w:val="07C338E5"/>
    <w:rsid w:val="07FB4E2D"/>
    <w:rsid w:val="080C703A"/>
    <w:rsid w:val="08567150"/>
    <w:rsid w:val="09523172"/>
    <w:rsid w:val="0A757631"/>
    <w:rsid w:val="0B5036E2"/>
    <w:rsid w:val="0BCF0AAA"/>
    <w:rsid w:val="0D696CDD"/>
    <w:rsid w:val="0DE545B5"/>
    <w:rsid w:val="0ED40186"/>
    <w:rsid w:val="0F2F360E"/>
    <w:rsid w:val="11A47A44"/>
    <w:rsid w:val="126006AE"/>
    <w:rsid w:val="12AF6F40"/>
    <w:rsid w:val="12C744E4"/>
    <w:rsid w:val="1306440E"/>
    <w:rsid w:val="130F79DE"/>
    <w:rsid w:val="13386F35"/>
    <w:rsid w:val="13750189"/>
    <w:rsid w:val="13DB3D64"/>
    <w:rsid w:val="143A0A8B"/>
    <w:rsid w:val="15602773"/>
    <w:rsid w:val="15653D5E"/>
    <w:rsid w:val="16493207"/>
    <w:rsid w:val="164E4CC1"/>
    <w:rsid w:val="175062B0"/>
    <w:rsid w:val="182061EA"/>
    <w:rsid w:val="1824217E"/>
    <w:rsid w:val="183D3240"/>
    <w:rsid w:val="187622AE"/>
    <w:rsid w:val="19B4308D"/>
    <w:rsid w:val="1A2B77F4"/>
    <w:rsid w:val="1ADA4D76"/>
    <w:rsid w:val="1B2B0976"/>
    <w:rsid w:val="1BA01B1B"/>
    <w:rsid w:val="1BD85D3E"/>
    <w:rsid w:val="1C69015F"/>
    <w:rsid w:val="1CA473E9"/>
    <w:rsid w:val="1CFA525B"/>
    <w:rsid w:val="1E201B9E"/>
    <w:rsid w:val="1EFE2F32"/>
    <w:rsid w:val="1F234F3D"/>
    <w:rsid w:val="206C45C7"/>
    <w:rsid w:val="22405E06"/>
    <w:rsid w:val="22435553"/>
    <w:rsid w:val="226D64CF"/>
    <w:rsid w:val="230518A8"/>
    <w:rsid w:val="23690DB1"/>
    <w:rsid w:val="24165E61"/>
    <w:rsid w:val="2441618A"/>
    <w:rsid w:val="248B7883"/>
    <w:rsid w:val="26551754"/>
    <w:rsid w:val="2670658E"/>
    <w:rsid w:val="28215D92"/>
    <w:rsid w:val="28250763"/>
    <w:rsid w:val="284952E9"/>
    <w:rsid w:val="299802D6"/>
    <w:rsid w:val="2AFB4FC0"/>
    <w:rsid w:val="2B6C37C8"/>
    <w:rsid w:val="2C387AF5"/>
    <w:rsid w:val="2CC82C80"/>
    <w:rsid w:val="2CFA6F40"/>
    <w:rsid w:val="2D1265F1"/>
    <w:rsid w:val="2D884135"/>
    <w:rsid w:val="2DB476A8"/>
    <w:rsid w:val="2E254102"/>
    <w:rsid w:val="2E61338C"/>
    <w:rsid w:val="2F104DB2"/>
    <w:rsid w:val="2F243AEC"/>
    <w:rsid w:val="2F326F6B"/>
    <w:rsid w:val="2F3B34B0"/>
    <w:rsid w:val="2F425D32"/>
    <w:rsid w:val="305667F5"/>
    <w:rsid w:val="30C916BD"/>
    <w:rsid w:val="32A93554"/>
    <w:rsid w:val="337A6C9E"/>
    <w:rsid w:val="33BC2E13"/>
    <w:rsid w:val="33BE2874"/>
    <w:rsid w:val="33E52369"/>
    <w:rsid w:val="33EF4F96"/>
    <w:rsid w:val="35011425"/>
    <w:rsid w:val="354B08F2"/>
    <w:rsid w:val="364610BA"/>
    <w:rsid w:val="364F7F6E"/>
    <w:rsid w:val="36B50719"/>
    <w:rsid w:val="36DA0180"/>
    <w:rsid w:val="372E04CB"/>
    <w:rsid w:val="37CE1DAE"/>
    <w:rsid w:val="383A26CD"/>
    <w:rsid w:val="3846585A"/>
    <w:rsid w:val="38EC5F48"/>
    <w:rsid w:val="392E47B3"/>
    <w:rsid w:val="3AEA64B7"/>
    <w:rsid w:val="3AFA2446"/>
    <w:rsid w:val="3AFB06C4"/>
    <w:rsid w:val="3BED2703"/>
    <w:rsid w:val="3BFB195D"/>
    <w:rsid w:val="3C4F6F1A"/>
    <w:rsid w:val="3C940DD1"/>
    <w:rsid w:val="3D567E34"/>
    <w:rsid w:val="3E94330A"/>
    <w:rsid w:val="3F32042D"/>
    <w:rsid w:val="3F6820A1"/>
    <w:rsid w:val="3FDD2AF8"/>
    <w:rsid w:val="417C1E33"/>
    <w:rsid w:val="44122F0E"/>
    <w:rsid w:val="442742D8"/>
    <w:rsid w:val="444430DC"/>
    <w:rsid w:val="44705C7F"/>
    <w:rsid w:val="45464A47"/>
    <w:rsid w:val="45F75F2C"/>
    <w:rsid w:val="467909EF"/>
    <w:rsid w:val="46BD0F24"/>
    <w:rsid w:val="46FC1A4C"/>
    <w:rsid w:val="47242D51"/>
    <w:rsid w:val="492E6109"/>
    <w:rsid w:val="494B2817"/>
    <w:rsid w:val="49CA4084"/>
    <w:rsid w:val="49DB003F"/>
    <w:rsid w:val="4BFB4538"/>
    <w:rsid w:val="4D295EA4"/>
    <w:rsid w:val="4D6473B4"/>
    <w:rsid w:val="4E4F6905"/>
    <w:rsid w:val="4F442AF1"/>
    <w:rsid w:val="4F9071D6"/>
    <w:rsid w:val="500A3750"/>
    <w:rsid w:val="504C71A8"/>
    <w:rsid w:val="5106297C"/>
    <w:rsid w:val="5164091A"/>
    <w:rsid w:val="52E57838"/>
    <w:rsid w:val="52ED493F"/>
    <w:rsid w:val="539349F0"/>
    <w:rsid w:val="547D1CF3"/>
    <w:rsid w:val="557E1851"/>
    <w:rsid w:val="55C37BD9"/>
    <w:rsid w:val="57C70491"/>
    <w:rsid w:val="585C67EF"/>
    <w:rsid w:val="58A67A6A"/>
    <w:rsid w:val="58BE3005"/>
    <w:rsid w:val="58C3686E"/>
    <w:rsid w:val="594F3C5E"/>
    <w:rsid w:val="597827FF"/>
    <w:rsid w:val="5A511C57"/>
    <w:rsid w:val="5AA3444B"/>
    <w:rsid w:val="5B4E6197"/>
    <w:rsid w:val="5B5F2276"/>
    <w:rsid w:val="5B9718EC"/>
    <w:rsid w:val="5BA302C2"/>
    <w:rsid w:val="5BF50713"/>
    <w:rsid w:val="5C62639E"/>
    <w:rsid w:val="5D551A5E"/>
    <w:rsid w:val="5D885B92"/>
    <w:rsid w:val="5DB22A0D"/>
    <w:rsid w:val="5DDD2180"/>
    <w:rsid w:val="5E1436C8"/>
    <w:rsid w:val="5FA36AB1"/>
    <w:rsid w:val="5FAD16DE"/>
    <w:rsid w:val="604A33D1"/>
    <w:rsid w:val="611A0FF5"/>
    <w:rsid w:val="63584057"/>
    <w:rsid w:val="63FF44D2"/>
    <w:rsid w:val="64F13BAE"/>
    <w:rsid w:val="655645C6"/>
    <w:rsid w:val="65D35F9E"/>
    <w:rsid w:val="66926769"/>
    <w:rsid w:val="67466C0A"/>
    <w:rsid w:val="67A26502"/>
    <w:rsid w:val="67DD0FCE"/>
    <w:rsid w:val="6AB73D58"/>
    <w:rsid w:val="6BD149A6"/>
    <w:rsid w:val="6BE91CF0"/>
    <w:rsid w:val="6C9A123C"/>
    <w:rsid w:val="6CD04C5E"/>
    <w:rsid w:val="6EAE5472"/>
    <w:rsid w:val="6F23376B"/>
    <w:rsid w:val="6F737553"/>
    <w:rsid w:val="6F741481"/>
    <w:rsid w:val="6FB410D2"/>
    <w:rsid w:val="70C04FE9"/>
    <w:rsid w:val="710B3DC7"/>
    <w:rsid w:val="71C805F9"/>
    <w:rsid w:val="72C26D78"/>
    <w:rsid w:val="73247AB1"/>
    <w:rsid w:val="73880040"/>
    <w:rsid w:val="75EA7003"/>
    <w:rsid w:val="77043E82"/>
    <w:rsid w:val="77642B72"/>
    <w:rsid w:val="77AE0291"/>
    <w:rsid w:val="77ED700C"/>
    <w:rsid w:val="785859A5"/>
    <w:rsid w:val="79D20E2A"/>
    <w:rsid w:val="7B220199"/>
    <w:rsid w:val="7B3F6139"/>
    <w:rsid w:val="7B3F7B7E"/>
    <w:rsid w:val="7B66335D"/>
    <w:rsid w:val="7B7517F2"/>
    <w:rsid w:val="7BF24BF0"/>
    <w:rsid w:val="7C3C6C20"/>
    <w:rsid w:val="7C772F6E"/>
    <w:rsid w:val="7E370FE0"/>
    <w:rsid w:val="7E6416AA"/>
    <w:rsid w:val="7FC520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autoRedefine/>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file:///C:\Users\pc\Desktop\&#24037;&#20316;&#25253;&#21578;%20&#25968;&#2545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400" b="0" i="0" u="none" strike="noStrike" kern="1200" baseline="0">
                <a:solidFill>
                  <a:schemeClr val="tx1">
                    <a:lumMod val="75000"/>
                    <a:lumOff val="25000"/>
                  </a:schemeClr>
                </a:solidFill>
                <a:latin typeface="方正小标宋简体" panose="03000509000000000000" charset="-122"/>
                <a:ea typeface="方正小标宋简体" panose="03000509000000000000" charset="-122"/>
                <a:cs typeface="方正小标宋简体" panose="03000509000000000000" charset="-122"/>
                <a:sym typeface="方正小标宋简体" panose="03000509000000000000" charset="-122"/>
              </a:defRPr>
            </a:pPr>
            <a:r>
              <a:rPr b="0">
                <a:latin typeface="方正小标宋简体" panose="03000509000000000000" charset="-122"/>
                <a:ea typeface="方正小标宋简体" panose="03000509000000000000" charset="-122"/>
                <a:cs typeface="方正小标宋简体" panose="03000509000000000000" charset="-122"/>
                <a:sym typeface="方正小标宋简体" panose="03000509000000000000" charset="-122"/>
              </a:rPr>
              <a:t>主动公开信息</a:t>
            </a:r>
            <a:endParaRPr b="0">
              <a:latin typeface="方正小标宋简体" panose="03000509000000000000" charset="-122"/>
              <a:ea typeface="方正小标宋简体" panose="03000509000000000000" charset="-122"/>
              <a:cs typeface="方正小标宋简体" panose="03000509000000000000" charset="-122"/>
              <a:sym typeface="方正小标宋简体" panose="03000509000000000000" charset="-122"/>
            </a:endParaRPr>
          </a:p>
        </c:rich>
      </c:tx>
      <c:layout/>
      <c:overlay val="0"/>
      <c:spPr>
        <a:noFill/>
        <a:ln>
          <a:noFill/>
        </a:ln>
        <a:effectLst/>
      </c:spPr>
    </c:title>
    <c:autoTitleDeleted val="0"/>
    <c:plotArea>
      <c:layout/>
      <c:pieChart>
        <c:varyColors val="1"/>
        <c:ser>
          <c:idx val="1"/>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Lbls>
            <c:dLbl>
              <c:idx val="0"/>
              <c:layout>
                <c:manualLayout>
                  <c:x val="0.0373686259244842"/>
                  <c:y val="0.0324032403240324"/>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1"/>
              <c:layout>
                <c:manualLayout>
                  <c:x val="0.116776956014013"/>
                  <c:y val="0.00432043204320432"/>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2"/>
              <c:layout>
                <c:manualLayout>
                  <c:x val="0.0653950953678474"/>
                  <c:y val="0.0345634563456346"/>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3"/>
              <c:layout>
                <c:manualLayout>
                  <c:x val="0.0326975476839238"/>
                  <c:y val="0.0604860486048605"/>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4"/>
              <c:layout>
                <c:manualLayout>
                  <c:x val="0.0607240171272869"/>
                  <c:y val="0"/>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5"/>
              <c:layout>
                <c:manualLayout>
                  <c:x val="-0.0205263157894737"/>
                  <c:y val="-0.0169082125603865"/>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dLbl>
              <c:idx val="6"/>
              <c:layout>
                <c:manualLayout>
                  <c:x val="-0.112105263157895"/>
                  <c:y val="0.0289855072463768"/>
                </c:manualLayout>
              </c:layout>
              <c:dLblPos val="bestFit"/>
              <c:showLegendKey val="1"/>
              <c:showVal val="1"/>
              <c:showCatName val="1"/>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方正小标宋简体" panose="03000509000000000000" charset="-122"/>
                    <a:ea typeface="方正小标宋简体" panose="03000509000000000000" charset="-122"/>
                    <a:cs typeface="方正小标宋简体" panose="03000509000000000000" charset="-122"/>
                    <a:sym typeface="方正小标宋简体" panose="03000509000000000000" charset="-122"/>
                  </a:defRPr>
                </a:pPr>
              </a:p>
            </c:txPr>
            <c:dLblPos val="outEnd"/>
            <c:showLegendKey val="1"/>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'[工作报告 数据.xlsx]Sheet1'!$A$2:$A$8</c:f>
              <c:strCache>
                <c:ptCount val="7"/>
                <c:pt idx="0">
                  <c:v>通知公告</c:v>
                </c:pt>
                <c:pt idx="1">
                  <c:v>规划计划信息</c:v>
                </c:pt>
                <c:pt idx="2">
                  <c:v>财政信息</c:v>
                </c:pt>
                <c:pt idx="3">
                  <c:v>行政权力信息</c:v>
                </c:pt>
                <c:pt idx="4">
                  <c:v>建议提案信息</c:v>
                </c:pt>
                <c:pt idx="5">
                  <c:v>重大民生信息</c:v>
                </c:pt>
                <c:pt idx="6">
                  <c:v>组织管理信息</c:v>
                </c:pt>
              </c:strCache>
            </c:strRef>
          </c:cat>
          <c:val>
            <c:numRef>
              <c:f>'[工作报告 数据.xlsx]Sheet1'!$B$2:$B$8</c:f>
              <c:numCache>
                <c:formatCode>General</c:formatCode>
                <c:ptCount val="7"/>
                <c:pt idx="0">
                  <c:v>7</c:v>
                </c:pt>
                <c:pt idx="1">
                  <c:v>1</c:v>
                </c:pt>
                <c:pt idx="2">
                  <c:v>4</c:v>
                </c:pt>
                <c:pt idx="3">
                  <c:v>2</c:v>
                </c:pt>
                <c:pt idx="4">
                  <c:v>36</c:v>
                </c:pt>
                <c:pt idx="5">
                  <c:v>18</c:v>
                </c:pt>
                <c:pt idx="6">
                  <c:v>7</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2ad3adf6-a78b-484c-9fe7-e8d63d4c4ee1}"/>
      </c:ext>
    </c:extLst>
  </c:chart>
  <c:spPr>
    <a:solidFill>
      <a:schemeClr val="bg1"/>
    </a:solidFill>
    <a:ln w="9525" cap="flat" cmpd="sng" algn="ctr">
      <a:solidFill>
        <a:schemeClr val="tx1">
          <a:lumMod val="50000"/>
          <a:lumOff val="50000"/>
          <a:alpha val="25000"/>
        </a:schemeClr>
      </a:solidFill>
      <a:round/>
    </a:ln>
    <a:effectLst/>
  </c:spPr>
  <c:txPr>
    <a:bodyPr/>
    <a:lstStyle/>
    <a:p>
      <a:pPr>
        <a:defRPr lang="zh-CN" b="0">
          <a:solidFill>
            <a:schemeClr val="tx1">
              <a:lumMod val="75000"/>
              <a:lumOff val="25000"/>
            </a:schemeClr>
          </a:solidFill>
          <a:latin typeface="方正小标宋简体" panose="03000509000000000000" charset="-122"/>
          <a:ea typeface="方正小标宋简体" panose="03000509000000000000" charset="-122"/>
          <a:cs typeface="方正小标宋简体" panose="03000509000000000000" charset="-122"/>
          <a:sym typeface="方正小标宋简体" panose="03000509000000000000" charset="-122"/>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1349</Words>
  <Characters>1398</Characters>
  <Lines>0</Lines>
  <Paragraphs>0</Paragraphs>
  <TotalTime>78</TotalTime>
  <ScaleCrop>false</ScaleCrop>
  <LinksUpToDate>false</LinksUpToDate>
  <CharactersWithSpaces>1398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2023-02-08T09:33:00Z</dcterms:created>
  <dc:creator>pc</dc:creator>
  <cp:lastModifiedBy>王丽</cp:lastModifiedBy>
  <dcterms:modified xsi:type="dcterms:W3CDTF">2025-01-13T09:52:55Z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7D1E6E7880094ACEA66E5CDEB190A50E_13</vt:lpwstr>
  </property>
  <property fmtid="{D5CDD505-2E9C-101B-9397-08002B2CF9AE}" pid="4" name="KSOTemplateDocerSaveRecord">
    <vt:lpwstr>eyJoZGlkIjoiMjY5NGQ3ZTMyZTZjNTI2ZGJmZDk4NmNiMTkxZDg1NDEiLCJ1c2VySWQiOiIzMDc3NzMwOTUifQ==</vt:lpwstr>
  </property>
</Properties>
</file>