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38D95">
      <w:pPr>
        <w:keepNext w:val="0"/>
        <w:keepLines w:val="0"/>
        <w:pageBreakBefore w:val="0"/>
        <w:kinsoku/>
        <w:overflowPunct/>
        <w:topLinePunct w:val="0"/>
        <w:autoSpaceDE/>
        <w:autoSpaceDN/>
        <w:bidi w:val="0"/>
        <w:adjustRightInd/>
        <w:snapToGrid/>
        <w:spacing w:after="100" w:afterAutospacing="0"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滕州市张汪镇人民政府</w:t>
      </w:r>
    </w:p>
    <w:p w14:paraId="76EC573C">
      <w:pPr>
        <w:keepNext w:val="0"/>
        <w:keepLines w:val="0"/>
        <w:pageBreakBefore w:val="0"/>
        <w:kinsoku/>
        <w:overflowPunct/>
        <w:topLinePunct w:val="0"/>
        <w:autoSpaceDE/>
        <w:autoSpaceDN/>
        <w:bidi w:val="0"/>
        <w:adjustRightInd/>
        <w:snapToGrid/>
        <w:spacing w:after="100" w:afterAutospacing="0"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2024年度信息公开工作年度报告</w:t>
      </w:r>
    </w:p>
    <w:p w14:paraId="7EF01003">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40" w:firstLineChars="200"/>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根据《中华人民共和国政府信息公开条例》，以及有关文件要求，结合滕州市张汪镇人民政府2024年度信息公开工作实际，编制了本报告。报告主要包括：总体情况、主动公开政府信息情况、收到和处理政府信息公开申请情况、建议提案办理公开情况、存在的主要问题及改进情况、其他需要报告的事项等。本报告所列数据的统计时限自2024年1月1日起至2024年12月31日止。</w:t>
      </w:r>
    </w:p>
    <w:p w14:paraId="06C5F962">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jc w:val="center"/>
        <w:textAlignment w:val="auto"/>
        <w:rPr>
          <w:rFonts w:hint="eastAsia" w:ascii="黑体" w:hAnsi="黑体" w:eastAsia="黑体" w:cs="Arial"/>
          <w:color w:val="000000"/>
          <w:kern w:val="0"/>
          <w:sz w:val="32"/>
          <w:szCs w:val="32"/>
        </w:rPr>
      </w:pPr>
      <w:r>
        <w:rPr>
          <w:rFonts w:ascii="Arial" w:hAnsi="Arial" w:eastAsia="宋体" w:cs="Arial"/>
          <w:color w:val="000000"/>
          <w:kern w:val="0"/>
          <w:sz w:val="27"/>
          <w:szCs w:val="27"/>
        </w:rPr>
        <w:drawing>
          <wp:inline distT="0" distB="0" distL="0" distR="0">
            <wp:extent cx="5267325" cy="4523740"/>
            <wp:effectExtent l="0" t="0" r="9525" b="10160"/>
            <wp:docPr id="12" name="图片 12" descr="D:\我的文档\Documents\WeChat Files\wxid_euh54d61v47222\FileStorage\Temp\17361274887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我的文档\Documents\WeChat Files\wxid_euh54d61v47222\FileStorage\Temp\1736127488776.png"/>
                    <pic:cNvPicPr>
                      <a:picLocks noChangeAspect="1" noChangeArrowheads="1"/>
                    </pic:cNvPicPr>
                  </pic:nvPicPr>
                  <pic:blipFill>
                    <a:blip r:embed="rId6"/>
                    <a:srcRect/>
                    <a:stretch>
                      <a:fillRect/>
                    </a:stretch>
                  </pic:blipFill>
                  <pic:spPr>
                    <a:xfrm>
                      <a:off x="0" y="0"/>
                      <a:ext cx="5274313" cy="4523740"/>
                    </a:xfrm>
                    <a:prstGeom prst="rect">
                      <a:avLst/>
                    </a:prstGeom>
                    <a:noFill/>
                    <a:ln w="9525">
                      <a:noFill/>
                      <a:miter lim="800000"/>
                      <a:headEnd/>
                      <a:tailEnd/>
                    </a:ln>
                  </pic:spPr>
                </pic:pic>
              </a:graphicData>
            </a:graphic>
          </wp:inline>
        </w:drawing>
      </w:r>
    </w:p>
    <w:p w14:paraId="02699E4D">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hint="eastAsia" w:ascii="黑体" w:hAnsi="黑体" w:eastAsia="黑体" w:cs="Arial"/>
          <w:color w:val="000000"/>
          <w:kern w:val="0"/>
          <w:sz w:val="32"/>
          <w:szCs w:val="32"/>
        </w:rPr>
      </w:pPr>
      <w:r>
        <w:rPr>
          <w:rFonts w:hint="eastAsia" w:ascii="黑体" w:hAnsi="黑体" w:eastAsia="黑体" w:cs="Arial"/>
          <w:color w:val="000000"/>
          <w:kern w:val="0"/>
          <w:sz w:val="32"/>
          <w:szCs w:val="32"/>
        </w:rPr>
        <w:t>一、总体情况</w:t>
      </w:r>
    </w:p>
    <w:p w14:paraId="39A119A6">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48"/>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2024年以来，张汪镇坚持以习近平新时代中国特色社会主义思想为指导，树牢为民服务宗旨，高度重视政府信息公开工作，认真贯彻落实《中华人民共和国政府信息公开条例》和省、市政府信息公开工作会议精神，全面深入推进政府信息公开工作，坚持把政府信息公开工作作为规范行业作风，促进依法行政的重要举措来抓。完善信息公开组织机构建设，深化政府信息公开内容，规范政府信息公开程序，切实保障群众的知情权、参与权和监督权。</w:t>
      </w:r>
    </w:p>
    <w:p w14:paraId="401A27F5">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jc w:val="center"/>
        <w:textAlignment w:val="auto"/>
        <w:rPr>
          <w:rFonts w:hint="eastAsia" w:ascii="仿宋" w:hAnsi="仿宋" w:eastAsia="仿宋" w:cs="Arial"/>
          <w:color w:val="000000"/>
          <w:kern w:val="0"/>
          <w:sz w:val="27"/>
          <w:szCs w:val="27"/>
        </w:rPr>
      </w:pPr>
      <w:r>
        <w:rPr>
          <w:rFonts w:ascii="仿宋" w:hAnsi="仿宋" w:eastAsia="仿宋" w:cs="Arial"/>
          <w:color w:val="000000"/>
          <w:kern w:val="0"/>
          <w:sz w:val="27"/>
          <w:szCs w:val="27"/>
        </w:rPr>
        <w:drawing>
          <wp:inline distT="0" distB="0" distL="0" distR="0">
            <wp:extent cx="5299710" cy="4400550"/>
            <wp:effectExtent l="0" t="0" r="0" b="0"/>
            <wp:docPr id="13" name="图片 13" descr="D:\我的文档\Documents\WeChat Files\wxid_euh54d61v47222\FileStorage\Temp\1736127629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我的文档\Documents\WeChat Files\wxid_euh54d61v47222\FileStorage\Temp\1736127629807.jpg"/>
                    <pic:cNvPicPr>
                      <a:picLocks noChangeAspect="1" noChangeArrowheads="1"/>
                    </pic:cNvPicPr>
                  </pic:nvPicPr>
                  <pic:blipFill>
                    <a:blip r:embed="rId7"/>
                    <a:srcRect/>
                    <a:stretch>
                      <a:fillRect/>
                    </a:stretch>
                  </pic:blipFill>
                  <pic:spPr>
                    <a:xfrm>
                      <a:off x="0" y="0"/>
                      <a:ext cx="5321763" cy="4418861"/>
                    </a:xfrm>
                    <a:prstGeom prst="rect">
                      <a:avLst/>
                    </a:prstGeom>
                    <a:noFill/>
                    <a:ln w="9525">
                      <a:noFill/>
                      <a:miter lim="800000"/>
                      <a:headEnd/>
                      <a:tailEnd/>
                    </a:ln>
                  </pic:spPr>
                </pic:pic>
              </a:graphicData>
            </a:graphic>
          </wp:inline>
        </w:drawing>
      </w:r>
    </w:p>
    <w:p w14:paraId="138A6625">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48"/>
        <w:jc w:val="left"/>
        <w:textAlignment w:val="auto"/>
        <w:rPr>
          <w:rFonts w:hint="eastAsia" w:ascii="楷体" w:hAnsi="楷体" w:eastAsia="楷体" w:cs="Arial"/>
          <w:b/>
          <w:color w:val="000000"/>
          <w:kern w:val="0"/>
          <w:sz w:val="32"/>
          <w:szCs w:val="32"/>
        </w:rPr>
      </w:pPr>
      <w:r>
        <w:rPr>
          <w:rFonts w:hint="eastAsia" w:ascii="楷体" w:hAnsi="楷体" w:eastAsia="楷体" w:cs="Arial"/>
          <w:b/>
          <w:color w:val="000000"/>
          <w:kern w:val="0"/>
          <w:sz w:val="32"/>
          <w:szCs w:val="32"/>
        </w:rPr>
        <w:t>（一）主动公开情况</w:t>
      </w:r>
    </w:p>
    <w:p w14:paraId="755B21A6">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ascii="Arial" w:hAnsi="Arial" w:eastAsia="宋体" w:cs="Arial"/>
          <w:color w:val="000000"/>
          <w:kern w:val="0"/>
          <w:sz w:val="32"/>
          <w:szCs w:val="32"/>
        </w:rPr>
      </w:pPr>
      <w:r>
        <w:rPr>
          <w:rFonts w:hint="eastAsia" w:ascii="仿宋" w:hAnsi="仿宋" w:eastAsia="仿宋" w:cs="Arial"/>
          <w:color w:val="000000"/>
          <w:kern w:val="0"/>
          <w:sz w:val="32"/>
          <w:szCs w:val="32"/>
        </w:rPr>
        <w:t>建立规范的公开及时公开政府信息，力争做到数量提高、公开及时、填报规范、内容全面。重点公开政策文件、规划计划、组织管理和政府信息年度报告等，认真总结政务公开工作经验，及时报送经验材料。2024年，通过滕州市人民政府官网张汪镇人民政府栏目发布信息137条，通过微信微博公众号发布信息957条，线下张贴65条。通过滕州市人民政府官网信息公开页面主动公开政府信息数20条，其中，通知公告6条，政策文件1条，规划计划3条，组织管理7条，公开基本目录3条。</w:t>
      </w:r>
    </w:p>
    <w:p w14:paraId="1B7E60E1">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216"/>
        <w:jc w:val="center"/>
        <w:textAlignment w:val="auto"/>
        <w:rPr>
          <w:rFonts w:ascii="Arial" w:hAnsi="Arial" w:eastAsia="宋体" w:cs="Arial"/>
          <w:color w:val="000000"/>
          <w:kern w:val="0"/>
          <w:sz w:val="27"/>
          <w:szCs w:val="27"/>
        </w:rPr>
      </w:pPr>
      <w:r>
        <w:rPr>
          <w:rFonts w:ascii="Arial" w:hAnsi="Arial" w:eastAsia="宋体" w:cs="Arial"/>
          <w:color w:val="000000"/>
          <w:kern w:val="0"/>
          <w:sz w:val="27"/>
          <w:szCs w:val="27"/>
        </w:rPr>
        <w:drawing>
          <wp:inline distT="0" distB="0" distL="0" distR="0">
            <wp:extent cx="3118485" cy="2905125"/>
            <wp:effectExtent l="0" t="0" r="0" b="0"/>
            <wp:docPr id="11" name="图片 11" descr="D:\我的文档\Documents\WeChat Files\wxid_euh54d61v47222\FileStorage\Temp\065c9e7cd75598cd3225cfab3f1ad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我的文档\Documents\WeChat Files\wxid_euh54d61v47222\FileStorage\Temp\065c9e7cd75598cd3225cfab3f1ada7.png"/>
                    <pic:cNvPicPr>
                      <a:picLocks noChangeAspect="1" noChangeArrowheads="1"/>
                    </pic:cNvPicPr>
                  </pic:nvPicPr>
                  <pic:blipFill>
                    <a:blip r:embed="rId8"/>
                    <a:srcRect/>
                    <a:stretch>
                      <a:fillRect/>
                    </a:stretch>
                  </pic:blipFill>
                  <pic:spPr>
                    <a:xfrm>
                      <a:off x="0" y="0"/>
                      <a:ext cx="3154817" cy="2938702"/>
                    </a:xfrm>
                    <a:prstGeom prst="rect">
                      <a:avLst/>
                    </a:prstGeom>
                    <a:noFill/>
                    <a:ln w="9525">
                      <a:noFill/>
                      <a:miter lim="800000"/>
                      <a:headEnd/>
                      <a:tailEnd/>
                    </a:ln>
                  </pic:spPr>
                </pic:pic>
              </a:graphicData>
            </a:graphic>
          </wp:inline>
        </w:drawing>
      </w:r>
    </w:p>
    <w:p w14:paraId="32CF0989">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48"/>
        <w:jc w:val="left"/>
        <w:textAlignment w:val="auto"/>
        <w:rPr>
          <w:rFonts w:hint="eastAsia" w:ascii="楷体" w:hAnsi="楷体" w:eastAsia="楷体" w:cs="Arial"/>
          <w:b/>
          <w:bCs/>
          <w:color w:val="000000"/>
          <w:kern w:val="0"/>
          <w:sz w:val="32"/>
          <w:szCs w:val="32"/>
        </w:rPr>
      </w:pPr>
      <w:r>
        <w:rPr>
          <w:rFonts w:hint="eastAsia" w:ascii="楷体" w:hAnsi="楷体" w:eastAsia="楷体" w:cs="Arial"/>
          <w:b/>
          <w:bCs/>
          <w:color w:val="000000"/>
          <w:kern w:val="0"/>
          <w:sz w:val="32"/>
          <w:szCs w:val="32"/>
        </w:rPr>
        <w:t>（二）政府信息依申请公开的办理情况</w:t>
      </w:r>
    </w:p>
    <w:p w14:paraId="4F20E406">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ascii="Arial" w:hAnsi="Arial" w:eastAsia="宋体" w:cs="Arial"/>
          <w:color w:val="000000"/>
          <w:kern w:val="0"/>
          <w:sz w:val="32"/>
          <w:szCs w:val="32"/>
        </w:rPr>
      </w:pPr>
      <w:r>
        <w:rPr>
          <w:rFonts w:hint="eastAsia" w:ascii="仿宋" w:hAnsi="仿宋" w:eastAsia="仿宋" w:cs="Arial"/>
          <w:color w:val="000000"/>
          <w:kern w:val="0"/>
          <w:sz w:val="32"/>
          <w:szCs w:val="32"/>
        </w:rPr>
        <w:t>坚持“归口办理、依法有据、严谨规范、慎重稳妥”的原则，完善受理、审查、处理、答复以及保存备查等各环节流程，保证政府信息依申请公开渠道畅通、流程科学，依法保障公民、法人和其他组织获取政府信息的权利，真正提升效能、服务于民。2024年，向镇政府申请的政府信息公开事项0件，与往年相比，数量有所下降。未出现因政府信息公开工作产生行政复议和行政诉讼。</w:t>
      </w:r>
    </w:p>
    <w:p w14:paraId="057259DE">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48"/>
        <w:jc w:val="left"/>
        <w:textAlignment w:val="auto"/>
        <w:rPr>
          <w:rFonts w:hint="eastAsia" w:ascii="楷体" w:hAnsi="楷体" w:eastAsia="楷体" w:cs="Arial"/>
          <w:color w:val="000000"/>
          <w:kern w:val="0"/>
          <w:sz w:val="32"/>
          <w:szCs w:val="32"/>
        </w:rPr>
      </w:pPr>
      <w:r>
        <w:rPr>
          <w:rFonts w:hint="eastAsia" w:ascii="楷体" w:hAnsi="楷体" w:eastAsia="楷体" w:cs="Arial"/>
          <w:b/>
          <w:bCs/>
          <w:color w:val="000000"/>
          <w:kern w:val="0"/>
          <w:sz w:val="32"/>
          <w:szCs w:val="32"/>
        </w:rPr>
        <w:t>（三）政府信息管理情况</w:t>
      </w:r>
    </w:p>
    <w:p w14:paraId="31FD25DA">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2024年，张汪镇进一步规范主动公开政府信息、依申请公开政府信息等操作流程，严格把关政府信息公开内容审查，建立工作考核、社会评议和责任追究等监督保障机制，同时还召开了政务公开工作培训会议。2024年度无违反规定和失泄密情况。</w:t>
      </w:r>
    </w:p>
    <w:p w14:paraId="1A7AEBC7">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216"/>
        <w:jc w:val="both"/>
        <w:textAlignment w:val="auto"/>
        <w:rPr>
          <w:rFonts w:ascii="Arial" w:hAnsi="Arial" w:eastAsia="宋体" w:cs="Arial"/>
          <w:color w:val="000000"/>
          <w:kern w:val="0"/>
          <w:sz w:val="27"/>
          <w:szCs w:val="27"/>
        </w:rPr>
      </w:pPr>
      <w:r>
        <w:rPr>
          <w:rFonts w:ascii="Arial" w:hAnsi="Arial" w:eastAsia="宋体" w:cs="Arial"/>
          <w:color w:val="000000"/>
          <w:kern w:val="0"/>
          <w:sz w:val="27"/>
          <w:szCs w:val="27"/>
        </w:rPr>
        <w:drawing>
          <wp:inline distT="0" distB="0" distL="0" distR="0">
            <wp:extent cx="5046980" cy="3409950"/>
            <wp:effectExtent l="0" t="0" r="1270" b="0"/>
            <wp:docPr id="14" name="图片 14" descr="D:\我的文档\Documents\WeChat Files\wxid_euh54d61v47222\FileStorage\Temp\ca8d088606c3c93ba7f8ba0ea44a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我的文档\Documents\WeChat Files\wxid_euh54d61v47222\FileStorage\Temp\ca8d088606c3c93ba7f8ba0ea44a458.jpg"/>
                    <pic:cNvPicPr>
                      <a:picLocks noChangeAspect="1" noChangeArrowheads="1"/>
                    </pic:cNvPicPr>
                  </pic:nvPicPr>
                  <pic:blipFill>
                    <a:blip r:embed="rId9"/>
                    <a:srcRect/>
                    <a:stretch>
                      <a:fillRect/>
                    </a:stretch>
                  </pic:blipFill>
                  <pic:spPr>
                    <a:xfrm>
                      <a:off x="0" y="0"/>
                      <a:ext cx="5046980" cy="3428497"/>
                    </a:xfrm>
                    <a:prstGeom prst="rect">
                      <a:avLst/>
                    </a:prstGeom>
                    <a:noFill/>
                    <a:ln w="9525">
                      <a:noFill/>
                      <a:miter lim="800000"/>
                      <a:headEnd/>
                      <a:tailEnd/>
                    </a:ln>
                  </pic:spPr>
                </pic:pic>
              </a:graphicData>
            </a:graphic>
          </wp:inline>
        </w:drawing>
      </w:r>
    </w:p>
    <w:p w14:paraId="25DF7760">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48"/>
        <w:jc w:val="left"/>
        <w:textAlignment w:val="auto"/>
        <w:rPr>
          <w:rFonts w:hint="eastAsia" w:ascii="楷体" w:hAnsi="楷体" w:eastAsia="楷体" w:cs="Arial"/>
          <w:color w:val="000000"/>
          <w:kern w:val="0"/>
          <w:sz w:val="32"/>
          <w:szCs w:val="32"/>
        </w:rPr>
      </w:pPr>
      <w:r>
        <w:rPr>
          <w:rFonts w:hint="eastAsia" w:ascii="楷体" w:hAnsi="楷体" w:eastAsia="楷体" w:cs="Arial"/>
          <w:b/>
          <w:bCs/>
          <w:color w:val="000000"/>
          <w:kern w:val="0"/>
          <w:sz w:val="32"/>
          <w:szCs w:val="32"/>
        </w:rPr>
        <w:t>（四）政府信息平台建设情况</w:t>
      </w:r>
    </w:p>
    <w:p w14:paraId="708D298B">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ascii="Arial" w:hAnsi="Arial" w:eastAsia="宋体" w:cs="Arial"/>
          <w:color w:val="000000"/>
          <w:kern w:val="0"/>
          <w:sz w:val="32"/>
          <w:szCs w:val="32"/>
        </w:rPr>
      </w:pPr>
      <w:r>
        <w:rPr>
          <w:rFonts w:hint="eastAsia" w:ascii="仿宋" w:hAnsi="仿宋" w:eastAsia="仿宋" w:cs="Arial"/>
          <w:color w:val="000000"/>
          <w:kern w:val="0"/>
          <w:sz w:val="32"/>
          <w:szCs w:val="32"/>
        </w:rPr>
        <w:t>加强网站内容建设，规范栏目设置，做好政务公开网站与微信、微博公众号的联动关系，及时全面的面向社会推送张汪镇的社会发展成果。通过微信、微博公众号及时收集社情民意，及时回答并解决公众关心的热点、难点、焦点问题，增强公众对政府的信任度。建立张汪镇为民服务中心、大宗村政务公开体验区，开展政府开放日等相关活动，提升群众政务公开参与度。</w:t>
      </w:r>
    </w:p>
    <w:p w14:paraId="07FD207F">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jc w:val="center"/>
        <w:textAlignment w:val="auto"/>
        <w:rPr>
          <w:rFonts w:ascii="Arial" w:hAnsi="Arial" w:eastAsia="宋体" w:cs="Arial"/>
          <w:color w:val="000000"/>
          <w:kern w:val="0"/>
          <w:sz w:val="27"/>
          <w:szCs w:val="27"/>
        </w:rPr>
      </w:pPr>
      <w:r>
        <w:rPr>
          <w:rFonts w:ascii="Arial" w:hAnsi="Arial" w:eastAsia="宋体" w:cs="Arial"/>
          <w:color w:val="000000"/>
          <w:kern w:val="0"/>
          <w:sz w:val="27"/>
          <w:szCs w:val="27"/>
        </w:rPr>
        <w:drawing>
          <wp:inline distT="0" distB="0" distL="0" distR="0">
            <wp:extent cx="2682875" cy="4552950"/>
            <wp:effectExtent l="0" t="0" r="0" b="0"/>
            <wp:docPr id="15" name="图片 15" descr="D:\我的文档\Documents\WeChat Files\wxid_euh54d61v47222\FileStorage\Temp\19989fcac223c24c205dc77b5794a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我的文档\Documents\WeChat Files\wxid_euh54d61v47222\FileStorage\Temp\19989fcac223c24c205dc77b5794aae.jpg"/>
                    <pic:cNvPicPr>
                      <a:picLocks noChangeAspect="1" noChangeArrowheads="1"/>
                    </pic:cNvPicPr>
                  </pic:nvPicPr>
                  <pic:blipFill>
                    <a:blip r:embed="rId10" cstate="print"/>
                    <a:srcRect/>
                    <a:stretch>
                      <a:fillRect/>
                    </a:stretch>
                  </pic:blipFill>
                  <pic:spPr>
                    <a:xfrm>
                      <a:off x="0" y="0"/>
                      <a:ext cx="2688360" cy="4562259"/>
                    </a:xfrm>
                    <a:prstGeom prst="rect">
                      <a:avLst/>
                    </a:prstGeom>
                    <a:noFill/>
                    <a:ln w="9525">
                      <a:noFill/>
                      <a:miter lim="800000"/>
                      <a:headEnd/>
                      <a:tailEnd/>
                    </a:ln>
                  </pic:spPr>
                </pic:pic>
              </a:graphicData>
            </a:graphic>
          </wp:inline>
        </w:drawing>
      </w:r>
    </w:p>
    <w:p w14:paraId="4321DE4E">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jc w:val="center"/>
        <w:textAlignment w:val="auto"/>
        <w:rPr>
          <w:rFonts w:ascii="Arial" w:hAnsi="Arial" w:eastAsia="宋体" w:cs="Arial"/>
          <w:color w:val="000000"/>
          <w:kern w:val="0"/>
          <w:sz w:val="27"/>
          <w:szCs w:val="27"/>
        </w:rPr>
      </w:pPr>
      <w:r>
        <w:rPr>
          <w:rFonts w:ascii="Arial" w:hAnsi="Arial" w:eastAsia="宋体" w:cs="Arial"/>
          <w:color w:val="000000"/>
          <w:kern w:val="0"/>
          <w:sz w:val="27"/>
          <w:szCs w:val="27"/>
        </w:rPr>
        <w:drawing>
          <wp:inline distT="0" distB="0" distL="0" distR="0">
            <wp:extent cx="5132705" cy="3086100"/>
            <wp:effectExtent l="0" t="0" r="10795" b="0"/>
            <wp:docPr id="5" name="图片 5" descr="http://172.20.24.4/webpic/W0202401/W020240126/W020240126469868886747_ORIG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http://172.20.24.4/webpic/W0202401/W020240126/W020240126469868886747_ORIGIN.jpg"/>
                    <pic:cNvPicPr>
                      <a:picLocks noChangeAspect="1" noChangeArrowheads="1"/>
                    </pic:cNvPicPr>
                  </pic:nvPicPr>
                  <pic:blipFill>
                    <a:blip r:embed="rId11"/>
                    <a:srcRect/>
                    <a:stretch>
                      <a:fillRect/>
                    </a:stretch>
                  </pic:blipFill>
                  <pic:spPr>
                    <a:xfrm>
                      <a:off x="0" y="0"/>
                      <a:ext cx="5132705" cy="3086100"/>
                    </a:xfrm>
                    <a:prstGeom prst="rect">
                      <a:avLst/>
                    </a:prstGeom>
                    <a:noFill/>
                    <a:ln w="9525">
                      <a:noFill/>
                      <a:miter lim="800000"/>
                      <a:headEnd/>
                      <a:tailEnd/>
                    </a:ln>
                  </pic:spPr>
                </pic:pic>
              </a:graphicData>
            </a:graphic>
          </wp:inline>
        </w:drawing>
      </w:r>
    </w:p>
    <w:p w14:paraId="5C24F40C">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48"/>
        <w:jc w:val="left"/>
        <w:textAlignment w:val="auto"/>
        <w:rPr>
          <w:rFonts w:hint="eastAsia" w:ascii="楷体" w:hAnsi="楷体" w:eastAsia="楷体" w:cs="Arial"/>
          <w:color w:val="000000"/>
          <w:kern w:val="0"/>
          <w:sz w:val="32"/>
          <w:szCs w:val="32"/>
        </w:rPr>
      </w:pPr>
      <w:r>
        <w:rPr>
          <w:rFonts w:hint="eastAsia" w:ascii="楷体" w:hAnsi="楷体" w:eastAsia="楷体" w:cs="Arial"/>
          <w:b/>
          <w:bCs/>
          <w:color w:val="000000"/>
          <w:kern w:val="0"/>
          <w:sz w:val="32"/>
          <w:szCs w:val="32"/>
        </w:rPr>
        <w:t>（五）监督保障情况</w:t>
      </w:r>
    </w:p>
    <w:p w14:paraId="0838F621">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ascii="Arial" w:hAnsi="Arial" w:eastAsia="宋体" w:cs="Arial"/>
          <w:color w:val="000000"/>
          <w:kern w:val="0"/>
          <w:sz w:val="32"/>
          <w:szCs w:val="32"/>
        </w:rPr>
      </w:pPr>
      <w:r>
        <w:rPr>
          <w:rFonts w:hint="eastAsia" w:ascii="仿宋" w:hAnsi="仿宋" w:eastAsia="仿宋" w:cs="Arial"/>
          <w:color w:val="000000"/>
          <w:kern w:val="0"/>
          <w:sz w:val="32"/>
          <w:szCs w:val="32"/>
        </w:rPr>
        <w:t>建立政府信息公开工作考核制度和责任追究制度，严格信息发布流程，定期对政府信息公开工作进行考核。接受群众监督，线上信息公开网站和线下宣传栏公布监督反馈电话和邮箱，发布意见征求稿，向社会公众征求意见。2024年度未进行社会评议，未发生责任追究情况。</w:t>
      </w:r>
    </w:p>
    <w:p w14:paraId="7D678992">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ascii="Arial" w:hAnsi="Arial" w:eastAsia="宋体" w:cs="Arial"/>
          <w:color w:val="000000"/>
          <w:kern w:val="0"/>
          <w:sz w:val="27"/>
          <w:szCs w:val="27"/>
        </w:rPr>
      </w:pPr>
      <w:r>
        <w:rPr>
          <w:rFonts w:hint="eastAsia" w:ascii="黑体" w:hAnsi="黑体" w:eastAsia="黑体" w:cs="Arial"/>
          <w:color w:val="000000"/>
          <w:kern w:val="0"/>
          <w:sz w:val="32"/>
          <w:szCs w:val="32"/>
        </w:rPr>
        <w:t>二、主动公开政府信息情况</w:t>
      </w:r>
    </w:p>
    <w:tbl>
      <w:tblPr>
        <w:tblStyle w:val="4"/>
        <w:tblW w:w="8805" w:type="dxa"/>
        <w:tblInd w:w="0" w:type="dxa"/>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2032"/>
        <w:gridCol w:w="2047"/>
        <w:gridCol w:w="2047"/>
        <w:gridCol w:w="2679"/>
      </w:tblGrid>
      <w:tr w14:paraId="42240635">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45" w:hRule="atLeast"/>
        </w:trPr>
        <w:tc>
          <w:tcPr>
            <w:tcW w:w="8580" w:type="dxa"/>
            <w:gridSpan w:val="4"/>
            <w:tcBorders>
              <w:top w:val="single" w:color="000000" w:sz="8" w:space="0"/>
              <w:left w:val="single" w:color="000000" w:sz="8" w:space="0"/>
              <w:bottom w:val="single" w:color="000000" w:sz="8" w:space="0"/>
              <w:right w:val="single" w:color="000000" w:sz="8" w:space="0"/>
            </w:tcBorders>
            <w:shd w:val="clear" w:color="auto" w:fill="C6D9F1"/>
            <w:tcMar>
              <w:top w:w="0" w:type="dxa"/>
              <w:left w:w="115" w:type="dxa"/>
              <w:bottom w:w="0" w:type="dxa"/>
              <w:right w:w="115" w:type="dxa"/>
            </w:tcMar>
            <w:vAlign w:val="center"/>
          </w:tcPr>
          <w:p w14:paraId="3EBAF5B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color w:val="000000"/>
                <w:kern w:val="0"/>
                <w:sz w:val="24"/>
                <w:szCs w:val="24"/>
              </w:rPr>
              <w:t>第二十条第（一）项</w:t>
            </w:r>
          </w:p>
        </w:tc>
      </w:tr>
      <w:tr w14:paraId="3AB1E938">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24B5C2A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信息内容</w:t>
            </w:r>
          </w:p>
        </w:tc>
        <w:tc>
          <w:tcPr>
            <w:tcW w:w="1995" w:type="dxa"/>
            <w:tcBorders>
              <w:top w:val="nil"/>
              <w:left w:val="nil"/>
              <w:bottom w:val="single" w:color="000000" w:sz="8" w:space="0"/>
              <w:right w:val="single" w:color="000000" w:sz="8" w:space="0"/>
            </w:tcBorders>
            <w:tcMar>
              <w:top w:w="0" w:type="dxa"/>
              <w:left w:w="0" w:type="dxa"/>
              <w:bottom w:w="0" w:type="dxa"/>
              <w:right w:w="115" w:type="dxa"/>
            </w:tcMar>
            <w:vAlign w:val="center"/>
          </w:tcPr>
          <w:p w14:paraId="4427B8D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本年制发件数</w:t>
            </w:r>
          </w:p>
        </w:tc>
        <w:tc>
          <w:tcPr>
            <w:tcW w:w="1995"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59CD3C47">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本年废止件数</w:t>
            </w:r>
          </w:p>
        </w:tc>
        <w:tc>
          <w:tcPr>
            <w:tcW w:w="1980"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3E171A1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现行有效件数</w:t>
            </w:r>
          </w:p>
        </w:tc>
      </w:tr>
      <w:tr w14:paraId="029525F4">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49B46BFB">
            <w:pPr>
              <w:keepNext w:val="0"/>
              <w:keepLines w:val="0"/>
              <w:pageBreakBefore w:val="0"/>
              <w:widowControl/>
              <w:kinsoku/>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规章</w:t>
            </w:r>
          </w:p>
        </w:tc>
        <w:tc>
          <w:tcPr>
            <w:tcW w:w="1995" w:type="dxa"/>
            <w:tcBorders>
              <w:top w:val="nil"/>
              <w:left w:val="nil"/>
              <w:bottom w:val="single" w:color="000000" w:sz="8" w:space="0"/>
              <w:right w:val="single" w:color="000000" w:sz="8" w:space="0"/>
            </w:tcBorders>
            <w:tcMar>
              <w:top w:w="0" w:type="dxa"/>
              <w:left w:w="0" w:type="dxa"/>
              <w:bottom w:w="0" w:type="dxa"/>
              <w:right w:w="115" w:type="dxa"/>
            </w:tcMar>
            <w:vAlign w:val="center"/>
          </w:tcPr>
          <w:p w14:paraId="032ABC0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c>
          <w:tcPr>
            <w:tcW w:w="1995"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2C4C824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c>
          <w:tcPr>
            <w:tcW w:w="1980"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0F7D9F4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r>
      <w:tr w14:paraId="6D8A7C02">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513FF202">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行政规范性文件</w:t>
            </w:r>
          </w:p>
        </w:tc>
        <w:tc>
          <w:tcPr>
            <w:tcW w:w="1995" w:type="dxa"/>
            <w:tcBorders>
              <w:top w:val="nil"/>
              <w:left w:val="nil"/>
              <w:bottom w:val="single" w:color="000000" w:sz="8" w:space="0"/>
              <w:right w:val="single" w:color="000000" w:sz="8" w:space="0"/>
            </w:tcBorders>
            <w:tcMar>
              <w:top w:w="0" w:type="dxa"/>
              <w:left w:w="0" w:type="dxa"/>
              <w:bottom w:w="0" w:type="dxa"/>
              <w:right w:w="115" w:type="dxa"/>
            </w:tcMar>
            <w:vAlign w:val="center"/>
          </w:tcPr>
          <w:p w14:paraId="763B3B7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c>
          <w:tcPr>
            <w:tcW w:w="1995"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2784ABD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c>
          <w:tcPr>
            <w:tcW w:w="1980"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54411A8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r>
      <w:tr w14:paraId="5DF0B98F">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8580" w:type="dxa"/>
            <w:gridSpan w:val="4"/>
            <w:tcBorders>
              <w:top w:val="single" w:color="000000" w:sz="8" w:space="0"/>
              <w:left w:val="single" w:color="000000" w:sz="8" w:space="0"/>
              <w:bottom w:val="single" w:color="000000" w:sz="8" w:space="0"/>
              <w:right w:val="single" w:color="000000" w:sz="8" w:space="0"/>
            </w:tcBorders>
            <w:shd w:val="clear" w:color="auto" w:fill="C6D9F1"/>
            <w:tcMar>
              <w:top w:w="0" w:type="dxa"/>
              <w:left w:w="115" w:type="dxa"/>
              <w:bottom w:w="0" w:type="dxa"/>
              <w:right w:w="115" w:type="dxa"/>
            </w:tcMar>
            <w:vAlign w:val="center"/>
          </w:tcPr>
          <w:p w14:paraId="175F936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color w:val="000000"/>
                <w:kern w:val="0"/>
                <w:sz w:val="24"/>
                <w:szCs w:val="24"/>
              </w:rPr>
              <w:t>第二十条第（五）项</w:t>
            </w:r>
          </w:p>
        </w:tc>
      </w:tr>
      <w:tr w14:paraId="36ECBA70">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7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2F51BD7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信息内容</w:t>
            </w:r>
          </w:p>
        </w:tc>
        <w:tc>
          <w:tcPr>
            <w:tcW w:w="6390" w:type="dxa"/>
            <w:gridSpan w:val="3"/>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32D5267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本年处理决定数量</w:t>
            </w:r>
          </w:p>
        </w:tc>
      </w:tr>
      <w:tr w14:paraId="71806BBE">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621F5952">
            <w:pPr>
              <w:keepNext w:val="0"/>
              <w:keepLines w:val="0"/>
              <w:pageBreakBefore w:val="0"/>
              <w:widowControl/>
              <w:kinsoku/>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行政许可</w:t>
            </w:r>
          </w:p>
        </w:tc>
        <w:tc>
          <w:tcPr>
            <w:tcW w:w="6390" w:type="dxa"/>
            <w:gridSpan w:val="3"/>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7577BB2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r>
      <w:tr w14:paraId="20E8E52F">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8580" w:type="dxa"/>
            <w:gridSpan w:val="4"/>
            <w:tcBorders>
              <w:top w:val="single" w:color="000000" w:sz="8" w:space="0"/>
              <w:left w:val="single" w:color="000000" w:sz="8" w:space="0"/>
              <w:bottom w:val="single" w:color="000000" w:sz="8" w:space="0"/>
              <w:right w:val="single" w:color="000000" w:sz="8" w:space="0"/>
            </w:tcBorders>
            <w:shd w:val="clear" w:color="auto" w:fill="C6D9F1"/>
            <w:tcMar>
              <w:top w:w="0" w:type="dxa"/>
              <w:left w:w="115" w:type="dxa"/>
              <w:bottom w:w="0" w:type="dxa"/>
              <w:right w:w="115" w:type="dxa"/>
            </w:tcMar>
            <w:vAlign w:val="center"/>
          </w:tcPr>
          <w:p w14:paraId="09296657">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color w:val="000000"/>
                <w:kern w:val="0"/>
                <w:sz w:val="24"/>
                <w:szCs w:val="24"/>
              </w:rPr>
              <w:t>第二十条第（六）项</w:t>
            </w:r>
          </w:p>
        </w:tc>
      </w:tr>
      <w:tr w14:paraId="54220BBC">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3862E6A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信息内容</w:t>
            </w:r>
          </w:p>
        </w:tc>
        <w:tc>
          <w:tcPr>
            <w:tcW w:w="6390" w:type="dxa"/>
            <w:gridSpan w:val="3"/>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2B844377">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本年处理决定数量</w:t>
            </w:r>
          </w:p>
        </w:tc>
      </w:tr>
      <w:tr w14:paraId="6A94EB8A">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382E4108">
            <w:pPr>
              <w:keepNext w:val="0"/>
              <w:keepLines w:val="0"/>
              <w:pageBreakBefore w:val="0"/>
              <w:widowControl/>
              <w:kinsoku/>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行政处罚</w:t>
            </w:r>
          </w:p>
        </w:tc>
        <w:tc>
          <w:tcPr>
            <w:tcW w:w="6390" w:type="dxa"/>
            <w:gridSpan w:val="3"/>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50FE6D6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r>
      <w:tr w14:paraId="76F1EB33">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1852808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行政强制</w:t>
            </w:r>
          </w:p>
        </w:tc>
        <w:tc>
          <w:tcPr>
            <w:tcW w:w="6390" w:type="dxa"/>
            <w:gridSpan w:val="3"/>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6E452C0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r>
      <w:tr w14:paraId="0503FC86">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8580" w:type="dxa"/>
            <w:gridSpan w:val="4"/>
            <w:tcBorders>
              <w:top w:val="single" w:color="000000" w:sz="8" w:space="0"/>
              <w:left w:val="single" w:color="000000" w:sz="8" w:space="0"/>
              <w:bottom w:val="single" w:color="000000" w:sz="8" w:space="0"/>
              <w:right w:val="single" w:color="000000" w:sz="8" w:space="0"/>
            </w:tcBorders>
            <w:shd w:val="clear" w:color="auto" w:fill="C6D9F1"/>
            <w:tcMar>
              <w:top w:w="0" w:type="dxa"/>
              <w:left w:w="115" w:type="dxa"/>
              <w:bottom w:w="0" w:type="dxa"/>
              <w:right w:w="115" w:type="dxa"/>
            </w:tcMar>
            <w:vAlign w:val="center"/>
          </w:tcPr>
          <w:p w14:paraId="2A89FEE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color w:val="000000"/>
                <w:kern w:val="0"/>
                <w:sz w:val="24"/>
                <w:szCs w:val="24"/>
              </w:rPr>
              <w:t>第二十条第（八）项</w:t>
            </w:r>
          </w:p>
        </w:tc>
      </w:tr>
      <w:tr w14:paraId="3801DE08">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60"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14E2C0E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信息内容</w:t>
            </w:r>
          </w:p>
        </w:tc>
        <w:tc>
          <w:tcPr>
            <w:tcW w:w="6390" w:type="dxa"/>
            <w:gridSpan w:val="3"/>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266F903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本年收费金额（单位：万元）</w:t>
            </w:r>
          </w:p>
        </w:tc>
      </w:tr>
      <w:tr w14:paraId="468519E5">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45" w:hRule="atLeast"/>
        </w:trPr>
        <w:tc>
          <w:tcPr>
            <w:tcW w:w="1980"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38523836">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color w:val="000000"/>
                <w:kern w:val="0"/>
                <w:sz w:val="24"/>
                <w:szCs w:val="24"/>
              </w:rPr>
              <w:t>行政事业性收费</w:t>
            </w:r>
          </w:p>
        </w:tc>
        <w:tc>
          <w:tcPr>
            <w:tcW w:w="6390" w:type="dxa"/>
            <w:gridSpan w:val="3"/>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61025EF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 w:hAnsi="仿宋" w:eastAsia="仿宋" w:cs="宋体"/>
                <w:kern w:val="0"/>
                <w:sz w:val="24"/>
                <w:szCs w:val="24"/>
              </w:rPr>
              <w:t>0</w:t>
            </w:r>
          </w:p>
        </w:tc>
      </w:tr>
    </w:tbl>
    <w:p w14:paraId="2B8498D5">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ascii="Arial" w:hAnsi="Arial" w:eastAsia="宋体" w:cs="Arial"/>
          <w:color w:val="000000"/>
          <w:kern w:val="0"/>
          <w:sz w:val="27"/>
          <w:szCs w:val="27"/>
        </w:rPr>
      </w:pPr>
      <w:r>
        <w:rPr>
          <w:rFonts w:hint="eastAsia" w:ascii="黑体" w:hAnsi="黑体" w:eastAsia="黑体" w:cs="Arial"/>
          <w:color w:val="000000"/>
          <w:kern w:val="0"/>
          <w:sz w:val="32"/>
          <w:szCs w:val="32"/>
        </w:rPr>
        <w:t>三、收到和处理政府信息公开申请情况</w:t>
      </w:r>
    </w:p>
    <w:tbl>
      <w:tblPr>
        <w:tblStyle w:val="4"/>
        <w:tblW w:w="9525" w:type="dxa"/>
        <w:jc w:val="center"/>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710"/>
        <w:gridCol w:w="1609"/>
        <w:gridCol w:w="2820"/>
        <w:gridCol w:w="700"/>
        <w:gridCol w:w="497"/>
        <w:gridCol w:w="497"/>
        <w:gridCol w:w="663"/>
        <w:gridCol w:w="622"/>
        <w:gridCol w:w="595"/>
        <w:gridCol w:w="812"/>
      </w:tblGrid>
      <w:tr w14:paraId="04804247">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5040" w:type="dxa"/>
            <w:gridSpan w:val="3"/>
            <w:vMerge w:val="restart"/>
            <w:tcBorders>
              <w:top w:val="single" w:color="000000" w:sz="8" w:space="0"/>
              <w:left w:val="single" w:color="000000" w:sz="8" w:space="0"/>
              <w:bottom w:val="single" w:color="000000" w:sz="6" w:space="0"/>
              <w:right w:val="single" w:color="000000" w:sz="6" w:space="0"/>
            </w:tcBorders>
            <w:tcMar>
              <w:top w:w="0" w:type="dxa"/>
              <w:left w:w="115" w:type="dxa"/>
              <w:bottom w:w="0" w:type="dxa"/>
              <w:right w:w="115" w:type="dxa"/>
            </w:tcMar>
            <w:vAlign w:val="center"/>
          </w:tcPr>
          <w:p w14:paraId="27A4DA4C">
            <w:pPr>
              <w:keepNext w:val="0"/>
              <w:keepLines w:val="0"/>
              <w:pageBreakBefore w:val="0"/>
              <w:widowControl/>
              <w:kinsoku/>
              <w:wordWrap w:val="0"/>
              <w:overflowPunct/>
              <w:topLinePunct w:val="0"/>
              <w:autoSpaceDE/>
              <w:autoSpaceDN/>
              <w:bidi w:val="0"/>
              <w:adjustRightInd/>
              <w:snapToGrid/>
              <w:spacing w:after="100" w:afterAutospacing="0" w:line="360" w:lineRule="atLeast"/>
              <w:textAlignment w:val="auto"/>
              <w:rPr>
                <w:rFonts w:hint="eastAsia" w:ascii="宋体" w:hAnsi="宋体" w:eastAsia="宋体" w:cs="宋体"/>
                <w:kern w:val="0"/>
                <w:sz w:val="24"/>
                <w:szCs w:val="24"/>
              </w:rPr>
            </w:pPr>
            <w:r>
              <w:rPr>
                <w:rFonts w:hint="eastAsia" w:ascii="楷体_GB2312" w:hAnsi="宋体" w:eastAsia="楷体_GB2312" w:cs="宋体"/>
                <w:kern w:val="0"/>
                <w:sz w:val="24"/>
                <w:szCs w:val="24"/>
              </w:rPr>
              <w:t>（本列数据的勾稽关系为：第一项加第二项之和，等于第三项加第四项之和）</w:t>
            </w:r>
          </w:p>
        </w:tc>
        <w:tc>
          <w:tcPr>
            <w:tcW w:w="4410" w:type="dxa"/>
            <w:gridSpan w:val="7"/>
            <w:tcBorders>
              <w:top w:val="single" w:color="000000" w:sz="8"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7E4A788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申请人情况</w:t>
            </w:r>
          </w:p>
        </w:tc>
      </w:tr>
      <w:tr w14:paraId="7174A0D5">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95" w:hRule="atLeast"/>
          <w:jc w:val="center"/>
        </w:trPr>
        <w:tc>
          <w:tcPr>
            <w:tcW w:w="0" w:type="auto"/>
            <w:gridSpan w:val="3"/>
            <w:vMerge w:val="continue"/>
            <w:tcBorders>
              <w:top w:val="single" w:color="000000" w:sz="8" w:space="0"/>
              <w:left w:val="single" w:color="000000" w:sz="8" w:space="0"/>
              <w:bottom w:val="single" w:color="000000" w:sz="6" w:space="0"/>
              <w:right w:val="single" w:color="000000" w:sz="6" w:space="0"/>
            </w:tcBorders>
            <w:vAlign w:val="center"/>
          </w:tcPr>
          <w:p w14:paraId="3FB05534">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720" w:type="dxa"/>
            <w:vMerge w:val="restart"/>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2D89DF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自然人</w:t>
            </w:r>
          </w:p>
        </w:tc>
        <w:tc>
          <w:tcPr>
            <w:tcW w:w="2970" w:type="dxa"/>
            <w:gridSpan w:val="5"/>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9EF951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法人或其他组织</w:t>
            </w:r>
          </w:p>
        </w:tc>
        <w:tc>
          <w:tcPr>
            <w:tcW w:w="660" w:type="dxa"/>
            <w:vMerge w:val="restart"/>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1821F0D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总计</w:t>
            </w:r>
          </w:p>
        </w:tc>
      </w:tr>
      <w:tr w14:paraId="7AAD61B7">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1409" w:hRule="atLeast"/>
          <w:jc w:val="center"/>
        </w:trPr>
        <w:tc>
          <w:tcPr>
            <w:tcW w:w="0" w:type="auto"/>
            <w:gridSpan w:val="3"/>
            <w:vMerge w:val="continue"/>
            <w:tcBorders>
              <w:top w:val="single" w:color="000000" w:sz="8" w:space="0"/>
              <w:left w:val="single" w:color="000000" w:sz="8" w:space="0"/>
              <w:bottom w:val="single" w:color="000000" w:sz="6" w:space="0"/>
              <w:right w:val="single" w:color="000000" w:sz="6" w:space="0"/>
            </w:tcBorders>
            <w:vAlign w:val="center"/>
          </w:tcPr>
          <w:p w14:paraId="345F6874">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7924531C">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15AE6A9">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right="-101"/>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商业企业</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9866AC1">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right="-101"/>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科研机构</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4B2C12F">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right="-101"/>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社会公益组织</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F99BD27">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right="-101"/>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法律服务机构</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E725BFD">
            <w:pPr>
              <w:keepNext w:val="0"/>
              <w:keepLines w:val="0"/>
              <w:pageBreakBefore w:val="0"/>
              <w:widowControl/>
              <w:kinsoku/>
              <w:wordWrap w:val="0"/>
              <w:overflowPunct/>
              <w:topLinePunct w:val="0"/>
              <w:autoSpaceDE/>
              <w:autoSpaceDN/>
              <w:bidi w:val="0"/>
              <w:adjustRightInd/>
              <w:snapToGrid/>
              <w:spacing w:after="100" w:afterAutospacing="0" w:line="360" w:lineRule="atLeast"/>
              <w:ind w:left="-58"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其他</w:t>
            </w:r>
          </w:p>
        </w:tc>
        <w:tc>
          <w:tcPr>
            <w:tcW w:w="0" w:type="auto"/>
            <w:vMerge w:val="continue"/>
            <w:tcBorders>
              <w:top w:val="single" w:color="000000" w:sz="6" w:space="0"/>
              <w:left w:val="single" w:color="000000" w:sz="6" w:space="0"/>
              <w:bottom w:val="single" w:color="000000" w:sz="6" w:space="0"/>
              <w:right w:val="single" w:color="000000" w:sz="8" w:space="0"/>
            </w:tcBorders>
            <w:vAlign w:val="center"/>
          </w:tcPr>
          <w:p w14:paraId="4984C969">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r>
      <w:tr w14:paraId="2D2BA7FC">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5040" w:type="dxa"/>
            <w:gridSpan w:val="3"/>
            <w:tcBorders>
              <w:top w:val="single" w:color="000000" w:sz="6" w:space="0"/>
              <w:left w:val="single" w:color="000000" w:sz="8" w:space="0"/>
              <w:bottom w:val="single" w:color="000000" w:sz="6" w:space="0"/>
              <w:right w:val="single" w:color="000000" w:sz="6" w:space="0"/>
            </w:tcBorders>
            <w:tcMar>
              <w:top w:w="0" w:type="dxa"/>
              <w:left w:w="115" w:type="dxa"/>
              <w:bottom w:w="0" w:type="dxa"/>
              <w:right w:w="115" w:type="dxa"/>
            </w:tcMar>
            <w:vAlign w:val="center"/>
          </w:tcPr>
          <w:p w14:paraId="0941BA0D">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0" w:name="_Hlk66973412"/>
            <w:bookmarkEnd w:id="0"/>
            <w:r>
              <w:rPr>
                <w:rFonts w:hint="eastAsia" w:ascii="黑体" w:hAnsi="黑体" w:eastAsia="黑体" w:cs="宋体"/>
                <w:kern w:val="0"/>
                <w:sz w:val="24"/>
                <w:szCs w:val="24"/>
              </w:rPr>
              <w:t>一、本年新收政府信息公开申请数量</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A320A5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6A0301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7E8FC3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885D05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A98368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468DAB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7DCE455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0D66BA87">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5040" w:type="dxa"/>
            <w:gridSpan w:val="3"/>
            <w:tcBorders>
              <w:top w:val="single" w:color="000000" w:sz="6" w:space="0"/>
              <w:left w:val="single" w:color="000000" w:sz="8" w:space="0"/>
              <w:bottom w:val="single" w:color="000000" w:sz="6" w:space="0"/>
              <w:right w:val="single" w:color="000000" w:sz="6" w:space="0"/>
            </w:tcBorders>
            <w:tcMar>
              <w:top w:w="0" w:type="dxa"/>
              <w:left w:w="115" w:type="dxa"/>
              <w:bottom w:w="0" w:type="dxa"/>
              <w:right w:w="115" w:type="dxa"/>
            </w:tcMar>
            <w:vAlign w:val="center"/>
          </w:tcPr>
          <w:p w14:paraId="714FB6E3">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二、上年结转政府信息公开申请数量</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B11F9E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CD9D5C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9AAB16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1EE5D7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767520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9DB69F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42A507C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4FFA7CB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375" w:type="dxa"/>
            <w:vMerge w:val="restart"/>
            <w:tcBorders>
              <w:top w:val="single" w:color="000000" w:sz="6" w:space="0"/>
              <w:left w:val="single" w:color="000000" w:sz="8" w:space="0"/>
              <w:bottom w:val="single" w:color="000000" w:sz="6" w:space="0"/>
              <w:right w:val="single" w:color="000000" w:sz="6" w:space="0"/>
            </w:tcBorders>
            <w:tcMar>
              <w:top w:w="0" w:type="dxa"/>
              <w:left w:w="115" w:type="dxa"/>
              <w:bottom w:w="0" w:type="dxa"/>
              <w:right w:w="115" w:type="dxa"/>
            </w:tcMar>
            <w:vAlign w:val="center"/>
          </w:tcPr>
          <w:p w14:paraId="6DA70DA2">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三、本年度办理结果</w:t>
            </w:r>
          </w:p>
        </w:tc>
        <w:tc>
          <w:tcPr>
            <w:tcW w:w="4635" w:type="dxa"/>
            <w:gridSpan w:val="2"/>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3935244">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（一）予以公开</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FB323D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7A9C75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DC81BB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EE6014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25070C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517513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7489AEF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58F00268">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7DF3D42F">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4635" w:type="dxa"/>
            <w:gridSpan w:val="2"/>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71AE4DC">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1" w:name="_Hlk66973981"/>
            <w:bookmarkEnd w:id="1"/>
            <w:r>
              <w:rPr>
                <w:rFonts w:hint="eastAsia" w:ascii="黑体" w:hAnsi="黑体" w:eastAsia="黑体" w:cs="宋体"/>
                <w:kern w:val="0"/>
                <w:sz w:val="24"/>
                <w:szCs w:val="24"/>
              </w:rPr>
              <w:t>（二）部分公开（区分处理的，只计这一情形，不计其他情形）</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6A24B9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64B98A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DAED23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5519C0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3555EE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62A661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15A6351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6C65F5F8">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1186" w:hRule="atLeast"/>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71EBF64A">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1665" w:type="dxa"/>
            <w:vMerge w:val="restart"/>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FF41085">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（三）不予公开</w:t>
            </w: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F8F6305">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1.属于国家秘密</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33B2C07">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6976AE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BC9269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82E90E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67321A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0843ED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144C443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0CFB5B0E">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59686186">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018FF411">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29AFED0">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2" w:name="_Hlk66974104"/>
            <w:bookmarkEnd w:id="2"/>
            <w:r>
              <w:rPr>
                <w:rFonts w:hint="eastAsia" w:ascii="仿宋_GB2312" w:hAnsi="宋体" w:eastAsia="仿宋_GB2312" w:cs="宋体"/>
                <w:kern w:val="0"/>
                <w:sz w:val="24"/>
                <w:szCs w:val="24"/>
              </w:rPr>
              <w:t>2.其他法律行政法规禁止公开</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BCB51F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BC4E6C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0A69AC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EF4D59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1A87BB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5B9179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7870A3F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4C1D11D0">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22188112">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164FC72E">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5CDD1D3">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3.危及“三安全一稳定”</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1890A0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2A2DC7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B1024F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1FDEF0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70DCC2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2F31B0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05CE966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0F3B46DC">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5280BCA2">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6D42CBAB">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068E7C6">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3" w:name="_Hlk66974290"/>
            <w:bookmarkEnd w:id="3"/>
            <w:r>
              <w:rPr>
                <w:rFonts w:hint="eastAsia" w:ascii="仿宋_GB2312" w:hAnsi="宋体" w:eastAsia="仿宋_GB2312" w:cs="宋体"/>
                <w:kern w:val="0"/>
                <w:sz w:val="24"/>
                <w:szCs w:val="24"/>
              </w:rPr>
              <w:t>4.保护第三方合法权益</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C92F6D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6FE891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B793CB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610039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EF4F39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55EABA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2E61B70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39F491D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1271D90D">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25077E6C">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591243C">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5.属于三类内部事务信息</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BCCB5C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2E59E7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41D25C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FF9CCB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061676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F23BAD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5B74942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091386D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403676A5">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7972BE03">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8B7472E">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4" w:name="_Hlk66974555"/>
            <w:bookmarkEnd w:id="4"/>
            <w:r>
              <w:rPr>
                <w:rFonts w:hint="eastAsia" w:ascii="仿宋_GB2312" w:hAnsi="宋体" w:eastAsia="仿宋_GB2312" w:cs="宋体"/>
                <w:kern w:val="0"/>
                <w:sz w:val="24"/>
                <w:szCs w:val="24"/>
              </w:rPr>
              <w:t>6.属于四类过程性信息</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3AB1FB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E84DEC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BF171E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E5BA34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152FF7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D046C3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1842B28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569A058D">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5DED572E">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0375B61C">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1EF1590">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7.属于行政执法案卷</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0C5456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99C0A6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431887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D517DC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6EDAA4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4300F9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206EC08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222E422D">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4D7C009F">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59BE3450">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5927912">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5" w:name="_Hlk66975211"/>
            <w:bookmarkEnd w:id="5"/>
            <w:r>
              <w:rPr>
                <w:rFonts w:hint="eastAsia" w:ascii="仿宋_GB2312" w:hAnsi="宋体" w:eastAsia="仿宋_GB2312" w:cs="宋体"/>
                <w:kern w:val="0"/>
                <w:sz w:val="24"/>
                <w:szCs w:val="24"/>
              </w:rPr>
              <w:t>8.属于行政查询事项</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0C6343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2CAB32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43E580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71B176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0F0C33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EE5A03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09458B0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52F07E64">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1273" w:hRule="atLeast"/>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345FAF7D">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1665" w:type="dxa"/>
            <w:vMerge w:val="restart"/>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F715D1A">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（四）无法提供</w:t>
            </w: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CB5EACE">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1.本机关不掌握相关政府信息</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246BFF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D8D880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D25EB5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A997B1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42658B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99744E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799E384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6E01361A">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7F36A035">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77BEF678">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CA38136">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6" w:name="_Hlk66975392"/>
            <w:bookmarkEnd w:id="6"/>
            <w:r>
              <w:rPr>
                <w:rFonts w:hint="eastAsia" w:ascii="仿宋_GB2312" w:hAnsi="宋体" w:eastAsia="仿宋_GB2312" w:cs="宋体"/>
                <w:kern w:val="0"/>
                <w:sz w:val="24"/>
                <w:szCs w:val="24"/>
              </w:rPr>
              <w:t>2.没有现成信息需要另行制作</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5F307F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3648DE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6FBB0C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F07F5A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685435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F02052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63339F5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5BF61F14">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1257" w:hRule="atLeast"/>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42FBAC7D">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0E7D2110">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DC87860">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7" w:name="_Hlk66975466"/>
            <w:bookmarkEnd w:id="7"/>
            <w:r>
              <w:rPr>
                <w:rFonts w:hint="eastAsia" w:ascii="仿宋_GB2312" w:hAnsi="宋体" w:eastAsia="仿宋_GB2312" w:cs="宋体"/>
                <w:kern w:val="0"/>
                <w:sz w:val="24"/>
                <w:szCs w:val="24"/>
              </w:rPr>
              <w:t>3.补正后申请内容仍不明确</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EAA593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7F3792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039BD2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300688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36BBC2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096C8F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0A6F84F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313A00ED">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6AA88C00">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1665" w:type="dxa"/>
            <w:vMerge w:val="restart"/>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A66E6F8">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（五）不予处理</w:t>
            </w: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7059C46">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bookmarkStart w:id="8" w:name="_Hlk66975537"/>
            <w:bookmarkEnd w:id="8"/>
            <w:r>
              <w:rPr>
                <w:rFonts w:hint="eastAsia" w:ascii="仿宋_GB2312" w:hAnsi="宋体" w:eastAsia="仿宋_GB2312" w:cs="宋体"/>
                <w:kern w:val="0"/>
                <w:sz w:val="24"/>
                <w:szCs w:val="24"/>
              </w:rPr>
              <w:t>1.信访举报投诉类申请</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04F34E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4D1C58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384E3D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3066C3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27D028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810E27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5548432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6A0F6B3F">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609" w:hRule="atLeast"/>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6F9156B4">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2F6EC028">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F19C880">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2.重复申请</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F0C362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976F0F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FDCDE1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47A45D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A35C8E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0C9D93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497FE20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20B20775">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1F0BAACE">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106B4889">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976859E">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3.要求提供公开出版物</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5DDD10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C796A27">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3CD255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842257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961655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AFAEF2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499B295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1DBA4D39">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502D559E">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1B3A1381">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B11545C">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4.无正当理由大量反复申请</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3909FA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AD47ED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3CFD1E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7458CF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DF854F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A07125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4E94426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1CE0F794">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1381" w:hRule="atLeast"/>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608C3DCA">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6EAC85F8">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095103F">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5.要求行政机关确认或重新出具已获取信息</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F858F5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3F7910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2079B8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F3F4A7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77E9095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86BAC4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63B9081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50A6D9D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4E91162B">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1665" w:type="dxa"/>
            <w:vMerge w:val="restart"/>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351411E">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（六）其他处理</w:t>
            </w:r>
          </w:p>
        </w:tc>
        <w:tc>
          <w:tcPr>
            <w:tcW w:w="294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16269D64">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1.申请人无正当理由逾期不补正、行政机关不再处理其政府信息公开申请</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B77F51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741851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2782C5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3FB3B49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E2957D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4EDCD3D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708C458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217FE833">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276" w:hRule="atLeast"/>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31AA0901">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76DD1872">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7301821F">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2.申请人逾期未按收费通知要求缴纳费用、行政机关不再处理其政府信息公开申请</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14290E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68133C4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78678F3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047E7C4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36C1D7A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51182F9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4" w:type="dxa"/>
              <w:bottom w:w="0" w:type="dxa"/>
              <w:right w:w="14" w:type="dxa"/>
            </w:tcMar>
            <w:vAlign w:val="center"/>
          </w:tcPr>
          <w:p w14:paraId="3C5C384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3F504420">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456" w:hRule="atLeast"/>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2E2AE402">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0" w:type="auto"/>
            <w:vMerge w:val="continue"/>
            <w:tcBorders>
              <w:top w:val="single" w:color="000000" w:sz="6" w:space="0"/>
              <w:left w:val="single" w:color="000000" w:sz="6" w:space="0"/>
              <w:bottom w:val="single" w:color="000000" w:sz="6" w:space="0"/>
              <w:right w:val="single" w:color="000000" w:sz="6" w:space="0"/>
            </w:tcBorders>
            <w:vAlign w:val="center"/>
          </w:tcPr>
          <w:p w14:paraId="5B129A7A">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294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5249637D">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3.其他</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C31C8B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2DAD466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40FBB02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34A7B82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787B40A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4" w:type="dxa"/>
              <w:bottom w:w="0" w:type="dxa"/>
              <w:right w:w="14" w:type="dxa"/>
            </w:tcMar>
            <w:vAlign w:val="center"/>
          </w:tcPr>
          <w:p w14:paraId="3EF7D51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4" w:type="dxa"/>
              <w:bottom w:w="0" w:type="dxa"/>
              <w:right w:w="14" w:type="dxa"/>
            </w:tcMar>
            <w:vAlign w:val="center"/>
          </w:tcPr>
          <w:p w14:paraId="3FD4A477">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43B7C7E8">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383" w:hRule="atLeast"/>
          <w:jc w:val="center"/>
        </w:trPr>
        <w:tc>
          <w:tcPr>
            <w:tcW w:w="0" w:type="auto"/>
            <w:vMerge w:val="continue"/>
            <w:tcBorders>
              <w:top w:val="single" w:color="000000" w:sz="6" w:space="0"/>
              <w:left w:val="single" w:color="000000" w:sz="8" w:space="0"/>
              <w:bottom w:val="single" w:color="000000" w:sz="6" w:space="0"/>
              <w:right w:val="single" w:color="000000" w:sz="6" w:space="0"/>
            </w:tcBorders>
            <w:vAlign w:val="center"/>
          </w:tcPr>
          <w:p w14:paraId="257A1815">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4635" w:type="dxa"/>
            <w:gridSpan w:val="2"/>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FC3A69D">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（七）总计</w:t>
            </w:r>
          </w:p>
        </w:tc>
        <w:tc>
          <w:tcPr>
            <w:tcW w:w="72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2AE8A9E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088196D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BD37C2C">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6FC18D8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1624CAC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6" w:space="0"/>
              <w:right w:val="single" w:color="000000" w:sz="6" w:space="0"/>
            </w:tcBorders>
            <w:tcMar>
              <w:top w:w="0" w:type="dxa"/>
              <w:left w:w="115" w:type="dxa"/>
              <w:bottom w:w="0" w:type="dxa"/>
              <w:right w:w="115" w:type="dxa"/>
            </w:tcMar>
            <w:vAlign w:val="center"/>
          </w:tcPr>
          <w:p w14:paraId="53989083">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6" w:space="0"/>
              <w:right w:val="single" w:color="000000" w:sz="8" w:space="0"/>
            </w:tcBorders>
            <w:tcMar>
              <w:top w:w="0" w:type="dxa"/>
              <w:left w:w="115" w:type="dxa"/>
              <w:bottom w:w="0" w:type="dxa"/>
              <w:right w:w="115" w:type="dxa"/>
            </w:tcMar>
            <w:vAlign w:val="center"/>
          </w:tcPr>
          <w:p w14:paraId="6B9EC5C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r w14:paraId="63A5AABF">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5040" w:type="dxa"/>
            <w:gridSpan w:val="3"/>
            <w:tcBorders>
              <w:top w:val="single" w:color="000000" w:sz="6" w:space="0"/>
              <w:left w:val="single" w:color="000000" w:sz="8" w:space="0"/>
              <w:bottom w:val="single" w:color="000000" w:sz="8" w:space="0"/>
              <w:right w:val="single" w:color="000000" w:sz="6" w:space="0"/>
            </w:tcBorders>
            <w:tcMar>
              <w:top w:w="0" w:type="dxa"/>
              <w:left w:w="115" w:type="dxa"/>
              <w:bottom w:w="0" w:type="dxa"/>
              <w:right w:w="115" w:type="dxa"/>
            </w:tcMar>
            <w:vAlign w:val="center"/>
          </w:tcPr>
          <w:p w14:paraId="16743AFD">
            <w:pPr>
              <w:keepNext w:val="0"/>
              <w:keepLines w:val="0"/>
              <w:pageBreakBefore w:val="0"/>
              <w:widowControl/>
              <w:kinsoku/>
              <w:wordWrap w:val="0"/>
              <w:overflowPunct/>
              <w:topLinePunct w:val="0"/>
              <w:autoSpaceDE/>
              <w:autoSpaceDN/>
              <w:bidi w:val="0"/>
              <w:adjustRightInd/>
              <w:snapToGrid/>
              <w:spacing w:after="100" w:afterAutospacing="0" w:line="360" w:lineRule="atLeast"/>
              <w:jc w:val="left"/>
              <w:textAlignment w:val="auto"/>
              <w:rPr>
                <w:rFonts w:hint="eastAsia" w:ascii="宋体" w:hAnsi="宋体" w:eastAsia="宋体" w:cs="宋体"/>
                <w:kern w:val="0"/>
                <w:sz w:val="24"/>
                <w:szCs w:val="24"/>
              </w:rPr>
            </w:pPr>
            <w:r>
              <w:rPr>
                <w:rFonts w:hint="eastAsia" w:ascii="黑体" w:hAnsi="黑体" w:eastAsia="黑体" w:cs="宋体"/>
                <w:kern w:val="0"/>
                <w:sz w:val="24"/>
                <w:szCs w:val="24"/>
              </w:rPr>
              <w:t>四、结转下年度继续办理</w:t>
            </w:r>
          </w:p>
        </w:tc>
        <w:tc>
          <w:tcPr>
            <w:tcW w:w="720" w:type="dxa"/>
            <w:tcBorders>
              <w:top w:val="single" w:color="000000" w:sz="6" w:space="0"/>
              <w:left w:val="single" w:color="000000" w:sz="6" w:space="0"/>
              <w:bottom w:val="single" w:color="000000" w:sz="8" w:space="0"/>
              <w:right w:val="single" w:color="000000" w:sz="6" w:space="0"/>
            </w:tcBorders>
            <w:tcMar>
              <w:top w:w="0" w:type="dxa"/>
              <w:left w:w="115" w:type="dxa"/>
              <w:bottom w:w="0" w:type="dxa"/>
              <w:right w:w="115" w:type="dxa"/>
            </w:tcMar>
            <w:vAlign w:val="center"/>
          </w:tcPr>
          <w:p w14:paraId="3E4342D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8" w:space="0"/>
              <w:right w:val="single" w:color="000000" w:sz="6" w:space="0"/>
            </w:tcBorders>
            <w:tcMar>
              <w:top w:w="0" w:type="dxa"/>
              <w:left w:w="115" w:type="dxa"/>
              <w:bottom w:w="0" w:type="dxa"/>
              <w:right w:w="115" w:type="dxa"/>
            </w:tcMar>
            <w:vAlign w:val="center"/>
          </w:tcPr>
          <w:p w14:paraId="1FAB3F9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510" w:type="dxa"/>
            <w:tcBorders>
              <w:top w:val="single" w:color="000000" w:sz="6" w:space="0"/>
              <w:left w:val="single" w:color="000000" w:sz="6" w:space="0"/>
              <w:bottom w:val="single" w:color="000000" w:sz="8" w:space="0"/>
              <w:right w:val="single" w:color="000000" w:sz="6" w:space="0"/>
            </w:tcBorders>
            <w:tcMar>
              <w:top w:w="0" w:type="dxa"/>
              <w:left w:w="115" w:type="dxa"/>
              <w:bottom w:w="0" w:type="dxa"/>
              <w:right w:w="115" w:type="dxa"/>
            </w:tcMar>
            <w:vAlign w:val="center"/>
          </w:tcPr>
          <w:p w14:paraId="67940E5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90" w:type="dxa"/>
            <w:tcBorders>
              <w:top w:val="single" w:color="000000" w:sz="6" w:space="0"/>
              <w:left w:val="single" w:color="000000" w:sz="6" w:space="0"/>
              <w:bottom w:val="single" w:color="000000" w:sz="8" w:space="0"/>
              <w:right w:val="single" w:color="000000" w:sz="6" w:space="0"/>
            </w:tcBorders>
            <w:tcMar>
              <w:top w:w="0" w:type="dxa"/>
              <w:left w:w="115" w:type="dxa"/>
              <w:bottom w:w="0" w:type="dxa"/>
              <w:right w:w="115" w:type="dxa"/>
            </w:tcMar>
            <w:vAlign w:val="center"/>
          </w:tcPr>
          <w:p w14:paraId="605A39E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45" w:type="dxa"/>
            <w:tcBorders>
              <w:top w:val="single" w:color="000000" w:sz="6" w:space="0"/>
              <w:left w:val="single" w:color="000000" w:sz="6" w:space="0"/>
              <w:bottom w:val="single" w:color="000000" w:sz="8" w:space="0"/>
              <w:right w:val="single" w:color="000000" w:sz="6" w:space="0"/>
            </w:tcBorders>
            <w:tcMar>
              <w:top w:w="0" w:type="dxa"/>
              <w:left w:w="115" w:type="dxa"/>
              <w:bottom w:w="0" w:type="dxa"/>
              <w:right w:w="115" w:type="dxa"/>
            </w:tcMar>
            <w:vAlign w:val="center"/>
          </w:tcPr>
          <w:p w14:paraId="4A8A6C9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495" w:type="dxa"/>
            <w:tcBorders>
              <w:top w:val="single" w:color="000000" w:sz="6" w:space="0"/>
              <w:left w:val="single" w:color="000000" w:sz="6" w:space="0"/>
              <w:bottom w:val="single" w:color="000000" w:sz="8" w:space="0"/>
              <w:right w:val="single" w:color="000000" w:sz="6" w:space="0"/>
            </w:tcBorders>
            <w:tcMar>
              <w:top w:w="0" w:type="dxa"/>
              <w:left w:w="115" w:type="dxa"/>
              <w:bottom w:w="0" w:type="dxa"/>
              <w:right w:w="115" w:type="dxa"/>
            </w:tcMar>
            <w:vAlign w:val="center"/>
          </w:tcPr>
          <w:p w14:paraId="7BAF6F9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c>
          <w:tcPr>
            <w:tcW w:w="660" w:type="dxa"/>
            <w:tcBorders>
              <w:top w:val="single" w:color="000000" w:sz="6" w:space="0"/>
              <w:left w:val="single" w:color="000000" w:sz="6" w:space="0"/>
              <w:bottom w:val="single" w:color="000000" w:sz="8" w:space="0"/>
              <w:right w:val="single" w:color="000000" w:sz="8" w:space="0"/>
            </w:tcBorders>
            <w:tcMar>
              <w:top w:w="0" w:type="dxa"/>
              <w:left w:w="115" w:type="dxa"/>
              <w:bottom w:w="0" w:type="dxa"/>
              <w:right w:w="115" w:type="dxa"/>
            </w:tcMar>
            <w:vAlign w:val="center"/>
          </w:tcPr>
          <w:p w14:paraId="1143495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仿宋_GB2312" w:hAnsi="宋体" w:eastAsia="仿宋_GB2312" w:cs="宋体"/>
                <w:kern w:val="0"/>
                <w:sz w:val="24"/>
                <w:szCs w:val="24"/>
              </w:rPr>
              <w:t>0</w:t>
            </w:r>
          </w:p>
        </w:tc>
      </w:tr>
    </w:tbl>
    <w:p w14:paraId="01EB80F1">
      <w:pPr>
        <w:keepNext w:val="0"/>
        <w:keepLines w:val="0"/>
        <w:pageBreakBefore w:val="0"/>
        <w:widowControl/>
        <w:kinsoku/>
        <w:overflowPunct/>
        <w:topLinePunct w:val="0"/>
        <w:autoSpaceDE/>
        <w:autoSpaceDN/>
        <w:bidi w:val="0"/>
        <w:adjustRightInd/>
        <w:snapToGrid/>
        <w:spacing w:before="100" w:beforeAutospacing="1" w:after="100" w:afterAutospacing="0" w:line="360" w:lineRule="atLeast"/>
        <w:ind w:firstLine="634"/>
        <w:jc w:val="left"/>
        <w:textAlignment w:val="auto"/>
        <w:rPr>
          <w:rFonts w:hint="eastAsia" w:ascii="黑体" w:hAnsi="黑体" w:eastAsia="黑体" w:cs="Arial"/>
          <w:color w:val="000000"/>
          <w:kern w:val="0"/>
          <w:sz w:val="32"/>
          <w:szCs w:val="32"/>
        </w:rPr>
      </w:pPr>
      <w:r>
        <w:rPr>
          <w:rFonts w:hint="eastAsia" w:ascii="黑体" w:hAnsi="黑体" w:eastAsia="黑体" w:cs="Arial"/>
          <w:color w:val="000000"/>
          <w:kern w:val="0"/>
          <w:sz w:val="32"/>
          <w:szCs w:val="32"/>
        </w:rPr>
        <w:t>四、政府信息公开行政复议、行政诉讼情况</w:t>
      </w:r>
    </w:p>
    <w:tbl>
      <w:tblPr>
        <w:tblStyle w:val="4"/>
        <w:tblW w:w="9075" w:type="dxa"/>
        <w:jc w:val="center"/>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autofit"/>
        <w:tblCellMar>
          <w:top w:w="75" w:type="dxa"/>
          <w:left w:w="150" w:type="dxa"/>
          <w:bottom w:w="75" w:type="dxa"/>
          <w:right w:w="150" w:type="dxa"/>
        </w:tblCellMar>
      </w:tblPr>
      <w:tblGrid>
        <w:gridCol w:w="477"/>
        <w:gridCol w:w="475"/>
        <w:gridCol w:w="426"/>
        <w:gridCol w:w="514"/>
        <w:gridCol w:w="1097"/>
        <w:gridCol w:w="448"/>
        <w:gridCol w:w="350"/>
        <w:gridCol w:w="577"/>
        <w:gridCol w:w="566"/>
        <w:gridCol w:w="981"/>
        <w:gridCol w:w="410"/>
        <w:gridCol w:w="585"/>
        <w:gridCol w:w="567"/>
        <w:gridCol w:w="567"/>
        <w:gridCol w:w="1035"/>
      </w:tblGrid>
      <w:tr w14:paraId="3C14A9E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trHeight w:val="270" w:hRule="atLeast"/>
          <w:jc w:val="center"/>
        </w:trPr>
        <w:tc>
          <w:tcPr>
            <w:tcW w:w="2989" w:type="dxa"/>
            <w:gridSpan w:val="5"/>
            <w:tcBorders>
              <w:top w:val="single" w:color="000000" w:sz="8" w:space="0"/>
              <w:left w:val="single" w:color="000000" w:sz="8" w:space="0"/>
              <w:bottom w:val="single" w:color="000000" w:sz="8" w:space="0"/>
              <w:right w:val="single" w:color="000000" w:sz="8" w:space="0"/>
            </w:tcBorders>
            <w:tcMar>
              <w:top w:w="0" w:type="dxa"/>
              <w:left w:w="115" w:type="dxa"/>
              <w:bottom w:w="0" w:type="dxa"/>
              <w:right w:w="115" w:type="dxa"/>
            </w:tcMar>
            <w:vAlign w:val="center"/>
          </w:tcPr>
          <w:p w14:paraId="1254CC8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行政复议</w:t>
            </w:r>
          </w:p>
        </w:tc>
        <w:tc>
          <w:tcPr>
            <w:tcW w:w="6086" w:type="dxa"/>
            <w:gridSpan w:val="10"/>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4BDDA718">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行政诉讼</w:t>
            </w:r>
          </w:p>
        </w:tc>
      </w:tr>
      <w:tr w14:paraId="4DA76298">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477" w:type="dxa"/>
            <w:vMerge w:val="restart"/>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54BC117A">
            <w:pPr>
              <w:keepNext w:val="0"/>
              <w:keepLines w:val="0"/>
              <w:pageBreakBefore w:val="0"/>
              <w:widowControl/>
              <w:kinsoku/>
              <w:wordWrap w:val="0"/>
              <w:overflowPunct/>
              <w:topLinePunct w:val="0"/>
              <w:autoSpaceDE/>
              <w:autoSpaceDN/>
              <w:bidi w:val="0"/>
              <w:adjustRightInd/>
              <w:snapToGrid/>
              <w:spacing w:after="100" w:afterAutospacing="0" w:line="360" w:lineRule="atLeast"/>
              <w:ind w:left="-144" w:right="-173"/>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结果</w:t>
            </w:r>
          </w:p>
          <w:p w14:paraId="6E007D48">
            <w:pPr>
              <w:keepNext w:val="0"/>
              <w:keepLines w:val="0"/>
              <w:pageBreakBefore w:val="0"/>
              <w:widowControl/>
              <w:kinsoku/>
              <w:wordWrap w:val="0"/>
              <w:overflowPunct/>
              <w:topLinePunct w:val="0"/>
              <w:autoSpaceDE/>
              <w:autoSpaceDN/>
              <w:bidi w:val="0"/>
              <w:adjustRightInd/>
              <w:snapToGrid/>
              <w:spacing w:after="100" w:afterAutospacing="0" w:line="360" w:lineRule="atLeast"/>
              <w:ind w:left="-144" w:right="-173"/>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维持</w:t>
            </w:r>
          </w:p>
        </w:tc>
        <w:tc>
          <w:tcPr>
            <w:tcW w:w="475" w:type="dxa"/>
            <w:vMerge w:val="restart"/>
            <w:tcBorders>
              <w:top w:val="nil"/>
              <w:left w:val="nil"/>
              <w:bottom w:val="single" w:color="000000" w:sz="8" w:space="0"/>
              <w:right w:val="single" w:color="000000" w:sz="8" w:space="0"/>
            </w:tcBorders>
            <w:tcMar>
              <w:top w:w="0" w:type="dxa"/>
              <w:left w:w="0" w:type="dxa"/>
              <w:bottom w:w="0" w:type="dxa"/>
              <w:right w:w="115" w:type="dxa"/>
            </w:tcMar>
            <w:vAlign w:val="center"/>
          </w:tcPr>
          <w:p w14:paraId="0DC4AFA7">
            <w:pPr>
              <w:keepNext w:val="0"/>
              <w:keepLines w:val="0"/>
              <w:pageBreakBefore w:val="0"/>
              <w:widowControl/>
              <w:kinsoku/>
              <w:wordWrap w:val="0"/>
              <w:overflowPunct/>
              <w:topLinePunct w:val="0"/>
              <w:autoSpaceDE/>
              <w:autoSpaceDN/>
              <w:bidi w:val="0"/>
              <w:adjustRightInd/>
              <w:snapToGrid/>
              <w:spacing w:after="100" w:afterAutospacing="0" w:line="360" w:lineRule="atLeast"/>
              <w:ind w:left="-43"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结果纠正</w:t>
            </w:r>
          </w:p>
        </w:tc>
        <w:tc>
          <w:tcPr>
            <w:tcW w:w="426" w:type="dxa"/>
            <w:vMerge w:val="restart"/>
            <w:tcBorders>
              <w:top w:val="single" w:color="000000" w:sz="8" w:space="0"/>
              <w:left w:val="nil"/>
              <w:bottom w:val="single" w:color="000000" w:sz="8" w:space="0"/>
              <w:right w:val="single" w:color="000000" w:sz="8" w:space="0"/>
            </w:tcBorders>
            <w:tcMar>
              <w:top w:w="0" w:type="dxa"/>
              <w:left w:w="115" w:type="dxa"/>
              <w:bottom w:w="0" w:type="dxa"/>
              <w:right w:w="115" w:type="dxa"/>
            </w:tcMar>
            <w:vAlign w:val="center"/>
          </w:tcPr>
          <w:p w14:paraId="4C3E83A5">
            <w:pPr>
              <w:keepNext w:val="0"/>
              <w:keepLines w:val="0"/>
              <w:pageBreakBefore w:val="0"/>
              <w:widowControl/>
              <w:kinsoku/>
              <w:wordWrap w:val="0"/>
              <w:overflowPunct/>
              <w:topLinePunct w:val="0"/>
              <w:autoSpaceDE/>
              <w:autoSpaceDN/>
              <w:bidi w:val="0"/>
              <w:adjustRightInd/>
              <w:snapToGrid/>
              <w:spacing w:after="100" w:afterAutospacing="0" w:line="360" w:lineRule="atLeast"/>
              <w:ind w:left="-86" w:right="-101"/>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其他结果</w:t>
            </w:r>
          </w:p>
        </w:tc>
        <w:tc>
          <w:tcPr>
            <w:tcW w:w="514" w:type="dxa"/>
            <w:vMerge w:val="restart"/>
            <w:tcBorders>
              <w:top w:val="single" w:color="000000" w:sz="8" w:space="0"/>
              <w:left w:val="nil"/>
              <w:bottom w:val="single" w:color="000000" w:sz="8" w:space="0"/>
              <w:right w:val="single" w:color="000000" w:sz="8" w:space="0"/>
            </w:tcBorders>
            <w:tcMar>
              <w:top w:w="0" w:type="dxa"/>
              <w:left w:w="115" w:type="dxa"/>
              <w:bottom w:w="0" w:type="dxa"/>
              <w:right w:w="115" w:type="dxa"/>
            </w:tcMar>
            <w:vAlign w:val="center"/>
          </w:tcPr>
          <w:p w14:paraId="2FEEDF8C">
            <w:pPr>
              <w:keepNext w:val="0"/>
              <w:keepLines w:val="0"/>
              <w:pageBreakBefore w:val="0"/>
              <w:widowControl/>
              <w:kinsoku/>
              <w:wordWrap w:val="0"/>
              <w:overflowPunct/>
              <w:topLinePunct w:val="0"/>
              <w:autoSpaceDE/>
              <w:autoSpaceDN/>
              <w:bidi w:val="0"/>
              <w:adjustRightInd/>
              <w:snapToGrid/>
              <w:spacing w:after="100" w:afterAutospacing="0" w:line="360" w:lineRule="atLeast"/>
              <w:ind w:left="-115" w:right="-115"/>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尚未</w:t>
            </w:r>
          </w:p>
          <w:p w14:paraId="336B8B8D">
            <w:pPr>
              <w:keepNext w:val="0"/>
              <w:keepLines w:val="0"/>
              <w:pageBreakBefore w:val="0"/>
              <w:widowControl/>
              <w:kinsoku/>
              <w:wordWrap w:val="0"/>
              <w:overflowPunct/>
              <w:topLinePunct w:val="0"/>
              <w:autoSpaceDE/>
              <w:autoSpaceDN/>
              <w:bidi w:val="0"/>
              <w:adjustRightInd/>
              <w:snapToGrid/>
              <w:spacing w:after="100" w:afterAutospacing="0" w:line="360" w:lineRule="atLeast"/>
              <w:ind w:left="-115" w:right="-115"/>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审结</w:t>
            </w:r>
          </w:p>
        </w:tc>
        <w:tc>
          <w:tcPr>
            <w:tcW w:w="1097" w:type="dxa"/>
            <w:vMerge w:val="restart"/>
            <w:tcBorders>
              <w:top w:val="single" w:color="000000" w:sz="8" w:space="0"/>
              <w:left w:val="nil"/>
              <w:bottom w:val="single" w:color="000000" w:sz="8" w:space="0"/>
              <w:right w:val="single" w:color="000000" w:sz="8" w:space="0"/>
            </w:tcBorders>
            <w:tcMar>
              <w:top w:w="0" w:type="dxa"/>
              <w:left w:w="115" w:type="dxa"/>
              <w:bottom w:w="0" w:type="dxa"/>
              <w:right w:w="115" w:type="dxa"/>
            </w:tcMar>
            <w:vAlign w:val="center"/>
          </w:tcPr>
          <w:p w14:paraId="51C55EA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总</w:t>
            </w:r>
          </w:p>
          <w:p w14:paraId="7E20861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计</w:t>
            </w:r>
          </w:p>
        </w:tc>
        <w:tc>
          <w:tcPr>
            <w:tcW w:w="2922" w:type="dxa"/>
            <w:gridSpan w:val="5"/>
            <w:tcBorders>
              <w:top w:val="single" w:color="000000" w:sz="8" w:space="0"/>
              <w:left w:val="nil"/>
              <w:bottom w:val="single" w:color="000000" w:sz="8" w:space="0"/>
              <w:right w:val="single" w:color="000000" w:sz="8" w:space="0"/>
            </w:tcBorders>
            <w:tcMar>
              <w:top w:w="0" w:type="dxa"/>
              <w:left w:w="115" w:type="dxa"/>
              <w:bottom w:w="0" w:type="dxa"/>
              <w:right w:w="115" w:type="dxa"/>
            </w:tcMar>
            <w:vAlign w:val="center"/>
          </w:tcPr>
          <w:p w14:paraId="5F26AD7E">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未经复议直接起诉</w:t>
            </w:r>
          </w:p>
        </w:tc>
        <w:tc>
          <w:tcPr>
            <w:tcW w:w="3164" w:type="dxa"/>
            <w:gridSpan w:val="5"/>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162E18B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复议后起诉</w:t>
            </w:r>
          </w:p>
        </w:tc>
      </w:tr>
      <w:tr w14:paraId="4435E790">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477" w:type="dxa"/>
            <w:vMerge w:val="continue"/>
            <w:tcBorders>
              <w:top w:val="nil"/>
              <w:left w:val="single" w:color="000000" w:sz="8" w:space="0"/>
              <w:bottom w:val="single" w:color="000000" w:sz="8" w:space="0"/>
              <w:right w:val="single" w:color="000000" w:sz="8" w:space="0"/>
            </w:tcBorders>
            <w:vAlign w:val="center"/>
          </w:tcPr>
          <w:p w14:paraId="4059E659">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475" w:type="dxa"/>
            <w:vMerge w:val="continue"/>
            <w:tcBorders>
              <w:top w:val="nil"/>
              <w:left w:val="nil"/>
              <w:bottom w:val="single" w:color="000000" w:sz="8" w:space="0"/>
              <w:right w:val="single" w:color="000000" w:sz="8" w:space="0"/>
            </w:tcBorders>
            <w:vAlign w:val="center"/>
          </w:tcPr>
          <w:p w14:paraId="591778D2">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426" w:type="dxa"/>
            <w:vMerge w:val="continue"/>
            <w:tcBorders>
              <w:top w:val="single" w:color="000000" w:sz="8" w:space="0"/>
              <w:left w:val="nil"/>
              <w:bottom w:val="single" w:color="000000" w:sz="8" w:space="0"/>
              <w:right w:val="single" w:color="000000" w:sz="8" w:space="0"/>
            </w:tcBorders>
            <w:vAlign w:val="center"/>
          </w:tcPr>
          <w:p w14:paraId="576E681D">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514" w:type="dxa"/>
            <w:vMerge w:val="continue"/>
            <w:tcBorders>
              <w:top w:val="single" w:color="000000" w:sz="8" w:space="0"/>
              <w:left w:val="nil"/>
              <w:bottom w:val="single" w:color="000000" w:sz="8" w:space="0"/>
              <w:right w:val="single" w:color="000000" w:sz="8" w:space="0"/>
            </w:tcBorders>
            <w:vAlign w:val="center"/>
          </w:tcPr>
          <w:p w14:paraId="0D12EF15">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1097" w:type="dxa"/>
            <w:vMerge w:val="continue"/>
            <w:tcBorders>
              <w:top w:val="single" w:color="000000" w:sz="8" w:space="0"/>
              <w:left w:val="nil"/>
              <w:bottom w:val="single" w:color="000000" w:sz="8" w:space="0"/>
              <w:right w:val="single" w:color="000000" w:sz="8" w:space="0"/>
            </w:tcBorders>
            <w:vAlign w:val="center"/>
          </w:tcPr>
          <w:p w14:paraId="67E019D0">
            <w:pPr>
              <w:keepNext w:val="0"/>
              <w:keepLines w:val="0"/>
              <w:pageBreakBefore w:val="0"/>
              <w:widowControl/>
              <w:kinsoku/>
              <w:overflowPunct/>
              <w:topLinePunct w:val="0"/>
              <w:autoSpaceDE/>
              <w:autoSpaceDN/>
              <w:bidi w:val="0"/>
              <w:adjustRightInd/>
              <w:snapToGrid/>
              <w:spacing w:after="100" w:afterAutospacing="0"/>
              <w:jc w:val="left"/>
              <w:textAlignment w:val="auto"/>
              <w:rPr>
                <w:rFonts w:hint="eastAsia" w:ascii="宋体" w:hAnsi="宋体" w:eastAsia="宋体" w:cs="宋体"/>
                <w:kern w:val="0"/>
                <w:sz w:val="24"/>
                <w:szCs w:val="24"/>
              </w:rPr>
            </w:pPr>
          </w:p>
        </w:tc>
        <w:tc>
          <w:tcPr>
            <w:tcW w:w="448" w:type="dxa"/>
            <w:tcBorders>
              <w:top w:val="nil"/>
              <w:left w:val="nil"/>
              <w:bottom w:val="single" w:color="000000" w:sz="8" w:space="0"/>
              <w:right w:val="single" w:color="000000" w:sz="8" w:space="0"/>
            </w:tcBorders>
            <w:tcMar>
              <w:top w:w="0" w:type="dxa"/>
              <w:left w:w="0" w:type="dxa"/>
              <w:bottom w:w="0" w:type="dxa"/>
              <w:right w:w="115" w:type="dxa"/>
            </w:tcMar>
            <w:vAlign w:val="center"/>
          </w:tcPr>
          <w:p w14:paraId="74D93447">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结果维持</w:t>
            </w:r>
          </w:p>
        </w:tc>
        <w:tc>
          <w:tcPr>
            <w:tcW w:w="350" w:type="dxa"/>
            <w:tcBorders>
              <w:top w:val="nil"/>
              <w:left w:val="nil"/>
              <w:bottom w:val="single" w:color="000000" w:sz="8" w:space="0"/>
              <w:right w:val="single" w:color="000000" w:sz="8" w:space="0"/>
            </w:tcBorders>
            <w:tcMar>
              <w:top w:w="0" w:type="dxa"/>
              <w:left w:w="0" w:type="dxa"/>
              <w:bottom w:w="0" w:type="dxa"/>
              <w:right w:w="115" w:type="dxa"/>
            </w:tcMar>
            <w:vAlign w:val="center"/>
          </w:tcPr>
          <w:p w14:paraId="2A65794C">
            <w:pPr>
              <w:keepNext w:val="0"/>
              <w:keepLines w:val="0"/>
              <w:pageBreakBefore w:val="0"/>
              <w:widowControl/>
              <w:kinsoku/>
              <w:wordWrap w:val="0"/>
              <w:overflowPunct/>
              <w:topLinePunct w:val="0"/>
              <w:autoSpaceDE/>
              <w:autoSpaceDN/>
              <w:bidi w:val="0"/>
              <w:adjustRightInd/>
              <w:snapToGrid/>
              <w:spacing w:after="100" w:afterAutospacing="0" w:line="360" w:lineRule="atLeast"/>
              <w:ind w:left="-86" w:right="-86"/>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结果纠正</w:t>
            </w:r>
          </w:p>
        </w:tc>
        <w:tc>
          <w:tcPr>
            <w:tcW w:w="577" w:type="dxa"/>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4028EB41">
            <w:pPr>
              <w:keepNext w:val="0"/>
              <w:keepLines w:val="0"/>
              <w:pageBreakBefore w:val="0"/>
              <w:widowControl/>
              <w:kinsoku/>
              <w:wordWrap w:val="0"/>
              <w:overflowPunct/>
              <w:topLinePunct w:val="0"/>
              <w:autoSpaceDE/>
              <w:autoSpaceDN/>
              <w:bidi w:val="0"/>
              <w:adjustRightInd/>
              <w:snapToGrid/>
              <w:spacing w:after="100" w:afterAutospacing="0" w:line="360" w:lineRule="atLeast"/>
              <w:ind w:left="-130"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其他</w:t>
            </w:r>
          </w:p>
          <w:p w14:paraId="150802D7">
            <w:pPr>
              <w:keepNext w:val="0"/>
              <w:keepLines w:val="0"/>
              <w:pageBreakBefore w:val="0"/>
              <w:widowControl/>
              <w:kinsoku/>
              <w:wordWrap w:val="0"/>
              <w:overflowPunct/>
              <w:topLinePunct w:val="0"/>
              <w:autoSpaceDE/>
              <w:autoSpaceDN/>
              <w:bidi w:val="0"/>
              <w:adjustRightInd/>
              <w:snapToGrid/>
              <w:spacing w:after="100" w:afterAutospacing="0" w:line="360" w:lineRule="atLeast"/>
              <w:ind w:left="-130"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结果</w:t>
            </w:r>
          </w:p>
        </w:tc>
        <w:tc>
          <w:tcPr>
            <w:tcW w:w="566" w:type="dxa"/>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474F8A6A">
            <w:pPr>
              <w:keepNext w:val="0"/>
              <w:keepLines w:val="0"/>
              <w:pageBreakBefore w:val="0"/>
              <w:widowControl/>
              <w:kinsoku/>
              <w:wordWrap w:val="0"/>
              <w:overflowPunct/>
              <w:topLinePunct w:val="0"/>
              <w:autoSpaceDE/>
              <w:autoSpaceDN/>
              <w:bidi w:val="0"/>
              <w:adjustRightInd/>
              <w:snapToGrid/>
              <w:spacing w:after="100" w:afterAutospacing="0" w:line="360" w:lineRule="atLeast"/>
              <w:ind w:left="-158" w:right="-158"/>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尚未</w:t>
            </w:r>
          </w:p>
          <w:p w14:paraId="2A7F6CC1">
            <w:pPr>
              <w:keepNext w:val="0"/>
              <w:keepLines w:val="0"/>
              <w:pageBreakBefore w:val="0"/>
              <w:widowControl/>
              <w:kinsoku/>
              <w:wordWrap w:val="0"/>
              <w:overflowPunct/>
              <w:topLinePunct w:val="0"/>
              <w:autoSpaceDE/>
              <w:autoSpaceDN/>
              <w:bidi w:val="0"/>
              <w:adjustRightInd/>
              <w:snapToGrid/>
              <w:spacing w:after="100" w:afterAutospacing="0" w:line="360" w:lineRule="atLeast"/>
              <w:ind w:left="-158" w:right="-158"/>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审结</w:t>
            </w:r>
          </w:p>
        </w:tc>
        <w:tc>
          <w:tcPr>
            <w:tcW w:w="981" w:type="dxa"/>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694A1AD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总计</w:t>
            </w:r>
          </w:p>
        </w:tc>
        <w:tc>
          <w:tcPr>
            <w:tcW w:w="410" w:type="dxa"/>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2B6D0725">
            <w:pPr>
              <w:keepNext w:val="0"/>
              <w:keepLines w:val="0"/>
              <w:pageBreakBefore w:val="0"/>
              <w:widowControl/>
              <w:kinsoku/>
              <w:wordWrap w:val="0"/>
              <w:overflowPunct/>
              <w:topLinePunct w:val="0"/>
              <w:autoSpaceDE/>
              <w:autoSpaceDN/>
              <w:bidi w:val="0"/>
              <w:adjustRightInd/>
              <w:snapToGrid/>
              <w:spacing w:after="100" w:afterAutospacing="0" w:line="360" w:lineRule="atLeast"/>
              <w:ind w:left="-101" w:right="-72"/>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结果维持</w:t>
            </w:r>
          </w:p>
        </w:tc>
        <w:tc>
          <w:tcPr>
            <w:tcW w:w="585" w:type="dxa"/>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1DCAA866">
            <w:pPr>
              <w:keepNext w:val="0"/>
              <w:keepLines w:val="0"/>
              <w:pageBreakBefore w:val="0"/>
              <w:widowControl/>
              <w:kinsoku/>
              <w:wordWrap w:val="0"/>
              <w:overflowPunct/>
              <w:topLinePunct w:val="0"/>
              <w:autoSpaceDE/>
              <w:autoSpaceDN/>
              <w:bidi w:val="0"/>
              <w:adjustRightInd/>
              <w:snapToGrid/>
              <w:spacing w:after="100" w:afterAutospacing="0" w:line="360" w:lineRule="atLeast"/>
              <w:ind w:left="-130"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结果</w:t>
            </w:r>
          </w:p>
          <w:p w14:paraId="4E0CEFA3">
            <w:pPr>
              <w:keepNext w:val="0"/>
              <w:keepLines w:val="0"/>
              <w:pageBreakBefore w:val="0"/>
              <w:widowControl/>
              <w:kinsoku/>
              <w:wordWrap w:val="0"/>
              <w:overflowPunct/>
              <w:topLinePunct w:val="0"/>
              <w:autoSpaceDE/>
              <w:autoSpaceDN/>
              <w:bidi w:val="0"/>
              <w:adjustRightInd/>
              <w:snapToGrid/>
              <w:spacing w:after="100" w:afterAutospacing="0" w:line="360" w:lineRule="atLeast"/>
              <w:ind w:left="-130"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纠正</w:t>
            </w:r>
          </w:p>
        </w:tc>
        <w:tc>
          <w:tcPr>
            <w:tcW w:w="567" w:type="dxa"/>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01EA087C">
            <w:pPr>
              <w:keepNext w:val="0"/>
              <w:keepLines w:val="0"/>
              <w:pageBreakBefore w:val="0"/>
              <w:widowControl/>
              <w:kinsoku/>
              <w:wordWrap w:val="0"/>
              <w:overflowPunct/>
              <w:topLinePunct w:val="0"/>
              <w:autoSpaceDE/>
              <w:autoSpaceDN/>
              <w:bidi w:val="0"/>
              <w:adjustRightInd/>
              <w:snapToGrid/>
              <w:spacing w:after="100" w:afterAutospacing="0" w:line="360" w:lineRule="atLeast"/>
              <w:ind w:left="-173"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其他</w:t>
            </w:r>
          </w:p>
          <w:p w14:paraId="09DDABA3">
            <w:pPr>
              <w:keepNext w:val="0"/>
              <w:keepLines w:val="0"/>
              <w:pageBreakBefore w:val="0"/>
              <w:widowControl/>
              <w:kinsoku/>
              <w:wordWrap w:val="0"/>
              <w:overflowPunct/>
              <w:topLinePunct w:val="0"/>
              <w:autoSpaceDE/>
              <w:autoSpaceDN/>
              <w:bidi w:val="0"/>
              <w:adjustRightInd/>
              <w:snapToGrid/>
              <w:spacing w:after="100" w:afterAutospacing="0" w:line="360" w:lineRule="atLeast"/>
              <w:ind w:left="-173" w:right="-130"/>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结果</w:t>
            </w:r>
          </w:p>
        </w:tc>
        <w:tc>
          <w:tcPr>
            <w:tcW w:w="567" w:type="dxa"/>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57089012">
            <w:pPr>
              <w:keepNext w:val="0"/>
              <w:keepLines w:val="0"/>
              <w:pageBreakBefore w:val="0"/>
              <w:widowControl/>
              <w:kinsoku/>
              <w:wordWrap w:val="0"/>
              <w:overflowPunct/>
              <w:topLinePunct w:val="0"/>
              <w:autoSpaceDE/>
              <w:autoSpaceDN/>
              <w:bidi w:val="0"/>
              <w:adjustRightInd/>
              <w:snapToGrid/>
              <w:spacing w:after="100" w:afterAutospacing="0" w:line="360" w:lineRule="atLeast"/>
              <w:ind w:left="-72" w:right="-101"/>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尚未审结</w:t>
            </w:r>
          </w:p>
        </w:tc>
        <w:tc>
          <w:tcPr>
            <w:tcW w:w="1035" w:type="dxa"/>
            <w:tcBorders>
              <w:top w:val="single" w:color="000000" w:sz="8" w:space="0"/>
              <w:left w:val="nil"/>
              <w:bottom w:val="single" w:color="000000" w:sz="8" w:space="0"/>
              <w:right w:val="single" w:color="000000" w:sz="8" w:space="0"/>
            </w:tcBorders>
            <w:tcMar>
              <w:top w:w="0" w:type="dxa"/>
              <w:left w:w="0" w:type="dxa"/>
              <w:bottom w:w="0" w:type="dxa"/>
              <w:right w:w="115" w:type="dxa"/>
            </w:tcMar>
            <w:vAlign w:val="center"/>
          </w:tcPr>
          <w:p w14:paraId="1D6D2A6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hint="eastAsia" w:ascii="黑体" w:hAnsi="黑体" w:eastAsia="黑体" w:cs="宋体"/>
                <w:kern w:val="0"/>
                <w:sz w:val="24"/>
                <w:szCs w:val="24"/>
              </w:rPr>
              <w:t>总计</w:t>
            </w:r>
          </w:p>
        </w:tc>
      </w:tr>
      <w:tr w14:paraId="2BF40291">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CellMar>
            <w:top w:w="75" w:type="dxa"/>
            <w:left w:w="150" w:type="dxa"/>
            <w:bottom w:w="75" w:type="dxa"/>
            <w:right w:w="150" w:type="dxa"/>
          </w:tblCellMar>
        </w:tblPrEx>
        <w:trPr>
          <w:jc w:val="center"/>
        </w:trPr>
        <w:tc>
          <w:tcPr>
            <w:tcW w:w="477" w:type="dxa"/>
            <w:tcBorders>
              <w:top w:val="nil"/>
              <w:left w:val="single" w:color="000000" w:sz="8" w:space="0"/>
              <w:bottom w:val="single" w:color="000000" w:sz="8" w:space="0"/>
              <w:right w:val="single" w:color="000000" w:sz="8" w:space="0"/>
            </w:tcBorders>
            <w:tcMar>
              <w:top w:w="0" w:type="dxa"/>
              <w:left w:w="115" w:type="dxa"/>
              <w:bottom w:w="0" w:type="dxa"/>
              <w:right w:w="115" w:type="dxa"/>
            </w:tcMar>
            <w:vAlign w:val="center"/>
          </w:tcPr>
          <w:p w14:paraId="6B4F31AF">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475" w:type="dxa"/>
            <w:tcBorders>
              <w:top w:val="nil"/>
              <w:left w:val="nil"/>
              <w:bottom w:val="single" w:color="000000" w:sz="8" w:space="0"/>
              <w:right w:val="single" w:color="000000" w:sz="8" w:space="0"/>
            </w:tcBorders>
            <w:tcMar>
              <w:top w:w="0" w:type="dxa"/>
              <w:left w:w="0" w:type="dxa"/>
              <w:bottom w:w="0" w:type="dxa"/>
              <w:right w:w="115" w:type="dxa"/>
            </w:tcMar>
            <w:vAlign w:val="center"/>
          </w:tcPr>
          <w:p w14:paraId="3FC1196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426"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15BF27CB">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514"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5347C2E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1097"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1A887D8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448"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4D26F2D6">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350"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553F363D">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577"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46719910">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566"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7EC554EA">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981"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1B89A9E5">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410"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37D820C9">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585"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0EC5D854">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567"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09734471">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567"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2A6EAE7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c>
          <w:tcPr>
            <w:tcW w:w="1035" w:type="dxa"/>
            <w:tcBorders>
              <w:top w:val="nil"/>
              <w:left w:val="nil"/>
              <w:bottom w:val="single" w:color="000000" w:sz="8" w:space="0"/>
              <w:right w:val="single" w:color="000000" w:sz="8" w:space="0"/>
            </w:tcBorders>
            <w:tcMar>
              <w:top w:w="0" w:type="dxa"/>
              <w:left w:w="115" w:type="dxa"/>
              <w:bottom w:w="0" w:type="dxa"/>
              <w:right w:w="115" w:type="dxa"/>
            </w:tcMar>
            <w:vAlign w:val="center"/>
          </w:tcPr>
          <w:p w14:paraId="51E75072">
            <w:pPr>
              <w:keepNext w:val="0"/>
              <w:keepLines w:val="0"/>
              <w:pageBreakBefore w:val="0"/>
              <w:widowControl/>
              <w:kinsoku/>
              <w:wordWrap w:val="0"/>
              <w:overflowPunct/>
              <w:topLinePunct w:val="0"/>
              <w:autoSpaceDE/>
              <w:autoSpaceDN/>
              <w:bidi w:val="0"/>
              <w:adjustRightInd/>
              <w:snapToGrid/>
              <w:spacing w:after="100" w:afterAutospacing="0" w:line="360" w:lineRule="atLeast"/>
              <w:jc w:val="center"/>
              <w:textAlignment w:val="auto"/>
              <w:rPr>
                <w:rFonts w:hint="eastAsia" w:ascii="宋体" w:hAnsi="宋体" w:eastAsia="宋体" w:cs="宋体"/>
                <w:kern w:val="0"/>
                <w:sz w:val="24"/>
                <w:szCs w:val="24"/>
              </w:rPr>
            </w:pPr>
            <w:r>
              <w:rPr>
                <w:rFonts w:ascii="Times New Roman" w:hAnsi="Times New Roman" w:eastAsia="宋体" w:cs="Times New Roman"/>
                <w:kern w:val="0"/>
                <w:sz w:val="24"/>
                <w:szCs w:val="24"/>
              </w:rPr>
              <w:t>0</w:t>
            </w:r>
          </w:p>
        </w:tc>
      </w:tr>
    </w:tbl>
    <w:p w14:paraId="76458D12">
      <w:pPr>
        <w:keepNext w:val="0"/>
        <w:keepLines w:val="0"/>
        <w:pageBreakBefore w:val="0"/>
        <w:widowControl/>
        <w:kinsoku/>
        <w:overflowPunct/>
        <w:topLinePunct w:val="0"/>
        <w:autoSpaceDE/>
        <w:autoSpaceDN/>
        <w:bidi w:val="0"/>
        <w:adjustRightInd/>
        <w:snapToGrid/>
        <w:spacing w:before="40" w:beforeAutospacing="0" w:after="40" w:afterAutospacing="0" w:line="360" w:lineRule="atLeast"/>
        <w:ind w:firstLine="640" w:firstLineChars="200"/>
        <w:jc w:val="left"/>
        <w:textAlignment w:val="auto"/>
        <w:rPr>
          <w:rFonts w:ascii="Arial" w:hAnsi="Arial" w:eastAsia="宋体" w:cs="Arial"/>
          <w:color w:val="000000"/>
          <w:kern w:val="0"/>
          <w:sz w:val="32"/>
          <w:szCs w:val="32"/>
        </w:rPr>
      </w:pPr>
      <w:r>
        <w:rPr>
          <w:rFonts w:hint="eastAsia" w:ascii="黑体" w:hAnsi="黑体" w:eastAsia="黑体" w:cs="Arial"/>
          <w:color w:val="000000"/>
          <w:kern w:val="0"/>
          <w:sz w:val="32"/>
          <w:szCs w:val="32"/>
        </w:rPr>
        <w:t>五、存在的主要问题及改进情况</w:t>
      </w:r>
    </w:p>
    <w:p w14:paraId="6818D669">
      <w:pPr>
        <w:keepNext w:val="0"/>
        <w:keepLines w:val="0"/>
        <w:pageBreakBefore w:val="0"/>
        <w:kinsoku/>
        <w:overflowPunct/>
        <w:topLinePunct w:val="0"/>
        <w:autoSpaceDE/>
        <w:autoSpaceDN/>
        <w:bidi w:val="0"/>
        <w:adjustRightInd/>
        <w:snapToGrid/>
        <w:spacing w:before="40" w:beforeAutospacing="0" w:after="40" w:afterAutospacing="0" w:line="560" w:lineRule="exact"/>
        <w:ind w:firstLine="640" w:firstLineChars="200"/>
        <w:textAlignment w:val="auto"/>
        <w:rPr>
          <w:rFonts w:hint="eastAsia" w:ascii="仿宋" w:hAnsi="仿宋" w:eastAsia="仿宋"/>
          <w:sz w:val="32"/>
          <w:szCs w:val="32"/>
        </w:rPr>
      </w:pPr>
      <w:r>
        <w:rPr>
          <w:rFonts w:hint="eastAsia" w:ascii="仿宋" w:hAnsi="仿宋" w:eastAsia="仿宋" w:cs="Arial"/>
          <w:color w:val="000000"/>
          <w:kern w:val="0"/>
          <w:sz w:val="32"/>
          <w:szCs w:val="32"/>
        </w:rPr>
        <w:t>2024年，张汪镇政府信息公开工作取得了很大成效，但还存在一些问题：一是</w:t>
      </w:r>
      <w:r>
        <w:rPr>
          <w:rFonts w:hint="eastAsia" w:ascii="仿宋" w:hAnsi="仿宋" w:eastAsia="仿宋"/>
          <w:sz w:val="32"/>
          <w:szCs w:val="32"/>
        </w:rPr>
        <w:t>部分领域信息公开深度不足：在一些民生保障领域，如低保政策落实、危房改造补贴发放等内容公开不够深入。群众难以从公开信息中全面了解自身权益和相关事项的办理细节，导致对政策的理解和信任度受到影响。二是新媒体平台应用不够充分，存在内容发布单一、互动性差的问题。同时，对于公众在新媒体平台上的留言和咨询，回复不及时、不全面，未能充分发挥新媒体平台在政民互动中的优势。</w:t>
      </w:r>
    </w:p>
    <w:p w14:paraId="38EE805B">
      <w:pPr>
        <w:keepNext w:val="0"/>
        <w:keepLines w:val="0"/>
        <w:pageBreakBefore w:val="0"/>
        <w:widowControl/>
        <w:kinsoku/>
        <w:overflowPunct/>
        <w:topLinePunct w:val="0"/>
        <w:autoSpaceDE/>
        <w:autoSpaceDN/>
        <w:bidi w:val="0"/>
        <w:adjustRightInd/>
        <w:snapToGrid/>
        <w:spacing w:before="40" w:beforeAutospacing="0" w:after="40" w:afterAutospacing="0" w:line="360" w:lineRule="atLeast"/>
        <w:ind w:firstLine="634"/>
        <w:jc w:val="left"/>
        <w:textAlignment w:val="auto"/>
        <w:rPr>
          <w:rFonts w:ascii="Arial" w:hAnsi="Arial" w:eastAsia="宋体" w:cs="Arial"/>
          <w:color w:val="000000"/>
          <w:kern w:val="0"/>
          <w:sz w:val="32"/>
          <w:szCs w:val="32"/>
        </w:rPr>
      </w:pPr>
      <w:r>
        <w:rPr>
          <w:rFonts w:hint="eastAsia" w:ascii="仿宋" w:hAnsi="仿宋" w:eastAsia="仿宋" w:cs="Arial"/>
          <w:color w:val="000000"/>
          <w:kern w:val="0"/>
          <w:sz w:val="32"/>
          <w:szCs w:val="32"/>
        </w:rPr>
        <w:t>2025年，我们将进一步完善工作推进机制，丰富信息公开的内容和形式，切实保障群众的知情权和监督权。重点抓好以下工作：</w:t>
      </w:r>
    </w:p>
    <w:p w14:paraId="06F7F73F">
      <w:pPr>
        <w:keepNext w:val="0"/>
        <w:keepLines w:val="0"/>
        <w:pageBreakBefore w:val="0"/>
        <w:kinsoku/>
        <w:overflowPunct/>
        <w:topLinePunct w:val="0"/>
        <w:autoSpaceDE/>
        <w:autoSpaceDN/>
        <w:bidi w:val="0"/>
        <w:adjustRightInd/>
        <w:snapToGrid/>
        <w:spacing w:before="40" w:beforeAutospacing="0" w:after="40" w:afterAutospacing="0"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深化重点领域信息公开：明确各民生保障领域信息公开的具体要求和标准，要求业务部门在公开政策文件和办理流程的基础上，进一步公开审批过程中的关键信息。例如，在低保政策落实方面，除公开申请条件和审批程序外，还详细公开申请对象的家庭收入、财产状况审核情况，以及最终确定的补贴金额计算明细，确保信息公开透明，保障群众知情权。</w:t>
      </w:r>
    </w:p>
    <w:p w14:paraId="34BB9050">
      <w:pPr>
        <w:keepNext w:val="0"/>
        <w:keepLines w:val="0"/>
        <w:pageBreakBefore w:val="0"/>
        <w:kinsoku/>
        <w:overflowPunct/>
        <w:topLinePunct w:val="0"/>
        <w:autoSpaceDE/>
        <w:autoSpaceDN/>
        <w:bidi w:val="0"/>
        <w:adjustRightInd/>
        <w:snapToGrid/>
        <w:spacing w:before="40" w:beforeAutospacing="0" w:after="40" w:afterAutospacing="0"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2.提升新媒体平台运营水平：加强政务新媒体平台的内容建设，丰富信息发布形式，采用图文并茂、视频动画等多种形式对政策进行解读，提高信息的可读性和吸引力。建立新媒体平台互动回应机制，安排专人负责回复公众留言和咨询，确保在规定时间内给予准确、全面的答复。定期开展新媒体平台互动活动，如线上民意调查、政策问答等，增强政民互动，提升公众参与度。</w:t>
      </w:r>
    </w:p>
    <w:p w14:paraId="5EEFE776">
      <w:pPr>
        <w:keepNext w:val="0"/>
        <w:keepLines w:val="0"/>
        <w:pageBreakBefore w:val="0"/>
        <w:kinsoku/>
        <w:overflowPunct/>
        <w:topLinePunct w:val="0"/>
        <w:autoSpaceDE/>
        <w:autoSpaceDN/>
        <w:bidi w:val="0"/>
        <w:adjustRightInd/>
        <w:snapToGrid/>
        <w:spacing w:before="40" w:beforeAutospacing="0" w:after="40" w:afterAutospacing="0" w:line="560" w:lineRule="exact"/>
        <w:ind w:firstLine="640" w:firstLineChars="200"/>
        <w:textAlignment w:val="auto"/>
        <w:rPr>
          <w:rFonts w:ascii="Arial" w:hAnsi="Arial" w:eastAsia="宋体" w:cs="Arial"/>
          <w:color w:val="000000"/>
          <w:kern w:val="0"/>
          <w:sz w:val="32"/>
          <w:szCs w:val="32"/>
        </w:rPr>
      </w:pPr>
      <w:r>
        <w:rPr>
          <w:rFonts w:hint="eastAsia" w:ascii="仿宋" w:hAnsi="仿宋" w:eastAsia="仿宋" w:cs="Arial"/>
          <w:color w:val="000000"/>
          <w:kern w:val="0"/>
          <w:sz w:val="32"/>
          <w:szCs w:val="32"/>
        </w:rPr>
        <w:t>3.强化监督管理进一步增强主动公开，定期开展政务公开相关培训，并鼓励干部职工积极参与政府公开信息发布的监督，更好地服务政府、社会和群众。</w:t>
      </w:r>
    </w:p>
    <w:p w14:paraId="28CC483A">
      <w:pPr>
        <w:keepNext w:val="0"/>
        <w:keepLines w:val="0"/>
        <w:pageBreakBefore w:val="0"/>
        <w:widowControl/>
        <w:kinsoku/>
        <w:overflowPunct/>
        <w:topLinePunct w:val="0"/>
        <w:autoSpaceDE/>
        <w:autoSpaceDN/>
        <w:bidi w:val="0"/>
        <w:adjustRightInd/>
        <w:snapToGrid/>
        <w:spacing w:before="40" w:beforeAutospacing="0" w:after="40" w:afterAutospacing="0" w:line="560" w:lineRule="exact"/>
        <w:ind w:firstLine="640" w:firstLineChars="200"/>
        <w:jc w:val="left"/>
        <w:textAlignment w:val="auto"/>
        <w:rPr>
          <w:rFonts w:ascii="Arial" w:hAnsi="Arial" w:eastAsia="宋体" w:cs="Arial"/>
          <w:color w:val="000000"/>
          <w:kern w:val="0"/>
          <w:sz w:val="32"/>
          <w:szCs w:val="32"/>
        </w:rPr>
      </w:pPr>
      <w:bookmarkStart w:id="9" w:name="_GoBack"/>
      <w:bookmarkEnd w:id="9"/>
      <w:r>
        <w:rPr>
          <w:rFonts w:hint="eastAsia" w:ascii="黑体" w:hAnsi="黑体" w:eastAsia="黑体" w:cs="Arial"/>
          <w:color w:val="000000"/>
          <w:kern w:val="0"/>
          <w:sz w:val="32"/>
          <w:szCs w:val="32"/>
        </w:rPr>
        <w:t>六、其他需要报告的事项</w:t>
      </w:r>
    </w:p>
    <w:p w14:paraId="3C5A29D5">
      <w:pPr>
        <w:keepNext w:val="0"/>
        <w:keepLines w:val="0"/>
        <w:pageBreakBefore w:val="0"/>
        <w:widowControl/>
        <w:kinsoku/>
        <w:overflowPunct/>
        <w:topLinePunct w:val="0"/>
        <w:autoSpaceDE/>
        <w:autoSpaceDN/>
        <w:bidi w:val="0"/>
        <w:adjustRightInd/>
        <w:snapToGrid/>
        <w:spacing w:before="40" w:beforeAutospacing="0" w:after="40" w:afterAutospacing="0" w:line="560" w:lineRule="exact"/>
        <w:ind w:firstLine="634"/>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1、依据《政府信息公开信息处理费管理办法》，2024年张汪镇未收取信息处理费。</w:t>
      </w:r>
    </w:p>
    <w:p w14:paraId="3F1B48E7">
      <w:pPr>
        <w:keepNext w:val="0"/>
        <w:keepLines w:val="0"/>
        <w:pageBreakBefore w:val="0"/>
        <w:widowControl/>
        <w:kinsoku/>
        <w:overflowPunct/>
        <w:topLinePunct w:val="0"/>
        <w:autoSpaceDE/>
        <w:autoSpaceDN/>
        <w:bidi w:val="0"/>
        <w:adjustRightInd/>
        <w:snapToGrid/>
        <w:spacing w:before="40" w:beforeAutospacing="0" w:after="40" w:afterAutospacing="0" w:line="560" w:lineRule="exact"/>
        <w:ind w:firstLine="634"/>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2、本行政机关落实上级年度政务公开工作要点情况：按照2024年滕州市政务公开总要求，进一步规范了政务信息管理，做好了法定公开内容日常维护等。</w:t>
      </w:r>
    </w:p>
    <w:p w14:paraId="353F7BDA">
      <w:pPr>
        <w:keepNext w:val="0"/>
        <w:keepLines w:val="0"/>
        <w:pageBreakBefore w:val="0"/>
        <w:widowControl/>
        <w:kinsoku/>
        <w:wordWrap/>
        <w:overflowPunct/>
        <w:topLinePunct w:val="0"/>
        <w:autoSpaceDE/>
        <w:autoSpaceDN/>
        <w:bidi w:val="0"/>
        <w:adjustRightInd/>
        <w:snapToGrid/>
        <w:spacing w:before="40" w:beforeAutospacing="0" w:after="40" w:afterAutospacing="0" w:line="560" w:lineRule="exact"/>
        <w:ind w:firstLine="635"/>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3、人大代表建议和政协提案办理情况方面：2024年本单位未收到人大建议和政协提案。</w:t>
      </w:r>
    </w:p>
    <w:p w14:paraId="75D49183">
      <w:pPr>
        <w:keepNext w:val="0"/>
        <w:keepLines w:val="0"/>
        <w:pageBreakBefore w:val="0"/>
        <w:widowControl/>
        <w:kinsoku/>
        <w:overflowPunct/>
        <w:topLinePunct w:val="0"/>
        <w:autoSpaceDE/>
        <w:autoSpaceDN/>
        <w:bidi w:val="0"/>
        <w:adjustRightInd/>
        <w:snapToGrid/>
        <w:spacing w:before="40" w:beforeAutospacing="0" w:after="40" w:afterAutospacing="0" w:line="560" w:lineRule="exact"/>
        <w:ind w:firstLine="634"/>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4、着力推进政务公开在公开形式和公开渠道上的创新，公开形式上采取表格、图解等方式让群众更直观的看到信息公开的相关内容；公开渠道上增加村级、社区、公开场所等区域的公开，让人民群众更方便的了解政府相关决策、文件。</w:t>
      </w:r>
    </w:p>
    <w:p w14:paraId="440850D2">
      <w:pPr>
        <w:keepNext w:val="0"/>
        <w:keepLines w:val="0"/>
        <w:pageBreakBefore w:val="0"/>
        <w:widowControl/>
        <w:kinsoku/>
        <w:overflowPunct/>
        <w:topLinePunct w:val="0"/>
        <w:autoSpaceDE/>
        <w:autoSpaceDN/>
        <w:bidi w:val="0"/>
        <w:adjustRightInd/>
        <w:snapToGrid/>
        <w:spacing w:before="40" w:beforeAutospacing="0" w:after="40" w:afterAutospacing="0" w:line="560" w:lineRule="exact"/>
        <w:ind w:firstLine="634"/>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5.本行政机关政府信息公开工作年度报告数据统计没有需要说明的事项。</w:t>
      </w:r>
    </w:p>
    <w:p w14:paraId="4DDA5573">
      <w:pPr>
        <w:keepNext w:val="0"/>
        <w:keepLines w:val="0"/>
        <w:pageBreakBefore w:val="0"/>
        <w:widowControl/>
        <w:kinsoku/>
        <w:overflowPunct/>
        <w:topLinePunct w:val="0"/>
        <w:autoSpaceDE/>
        <w:autoSpaceDN/>
        <w:bidi w:val="0"/>
        <w:adjustRightInd/>
        <w:snapToGrid/>
        <w:spacing w:before="40" w:beforeAutospacing="0" w:after="40" w:afterAutospacing="0" w:line="560" w:lineRule="exact"/>
        <w:ind w:firstLine="634"/>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6.无需要报告的其他事项。</w:t>
      </w:r>
    </w:p>
    <w:p w14:paraId="7AD80D1B">
      <w:pPr>
        <w:keepNext w:val="0"/>
        <w:keepLines w:val="0"/>
        <w:pageBreakBefore w:val="0"/>
        <w:widowControl/>
        <w:kinsoku/>
        <w:overflowPunct/>
        <w:topLinePunct w:val="0"/>
        <w:autoSpaceDE/>
        <w:autoSpaceDN/>
        <w:bidi w:val="0"/>
        <w:adjustRightInd/>
        <w:snapToGrid/>
        <w:spacing w:before="40" w:beforeAutospacing="0" w:after="40" w:afterAutospacing="0" w:line="560" w:lineRule="exact"/>
        <w:ind w:firstLine="634"/>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7.无其他有关文件专门要求通过政府信息公开工作年度报告予以报告的事项。</w:t>
      </w:r>
    </w:p>
    <w:p w14:paraId="4AC9E3A4">
      <w:pPr>
        <w:keepNext w:val="0"/>
        <w:keepLines w:val="0"/>
        <w:pageBreakBefore w:val="0"/>
        <w:kinsoku/>
        <w:wordWrap w:val="0"/>
        <w:overflowPunct/>
        <w:topLinePunct w:val="0"/>
        <w:autoSpaceDE/>
        <w:autoSpaceDN/>
        <w:bidi w:val="0"/>
        <w:adjustRightInd/>
        <w:snapToGrid/>
        <w:spacing w:before="40" w:beforeAutospacing="0" w:after="40" w:afterAutospacing="0" w:line="560" w:lineRule="exact"/>
        <w:ind w:firstLine="646"/>
        <w:jc w:val="left"/>
        <w:textAlignment w:val="auto"/>
        <w:rPr>
          <w:rFonts w:hint="eastAsia" w:ascii="仿宋" w:hAnsi="仿宋" w:eastAsia="仿宋" w:cs="Arial"/>
          <w:color w:val="000000"/>
          <w:kern w:val="0"/>
          <w:sz w:val="32"/>
          <w:szCs w:val="32"/>
        </w:rPr>
      </w:pPr>
      <w:r>
        <w:rPr>
          <w:rFonts w:hint="eastAsia" w:ascii="仿宋" w:hAnsi="仿宋" w:eastAsia="仿宋" w:cs="Arial"/>
          <w:color w:val="000000"/>
          <w:kern w:val="0"/>
          <w:sz w:val="32"/>
          <w:szCs w:val="32"/>
        </w:rPr>
        <w:t>本报告的电子版可在“中国滕州”（www.tengzhou.gov.cn）网站查询和下载。如对本报告有任何疑问，请与张汪镇人民政府信息公开办公室联系。（地址：山东省滕州市张汪镇人民政府</w:t>
      </w:r>
      <w:r>
        <w:rPr>
          <w:rFonts w:hint="eastAsia" w:ascii="仿宋" w:hAnsi="仿宋" w:eastAsia="仿宋" w:cs="MS Mincho"/>
          <w:color w:val="000000"/>
          <w:kern w:val="0"/>
          <w:sz w:val="32"/>
          <w:szCs w:val="32"/>
        </w:rPr>
        <w:t> </w:t>
      </w:r>
      <w:r>
        <w:rPr>
          <w:rFonts w:hint="eastAsia" w:ascii="仿宋" w:hAnsi="仿宋" w:eastAsia="仿宋" w:cs="Arial"/>
          <w:color w:val="000000"/>
          <w:kern w:val="0"/>
          <w:sz w:val="32"/>
          <w:szCs w:val="32"/>
        </w:rPr>
        <w:t>，联系电话：0632—2804009，电子信箱：tzzw001@163.com）</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0000600000000000000"/>
    <w:charset w:val="86"/>
    <w:family w:val="auto"/>
    <w:pitch w:val="default"/>
    <w:sig w:usb0="800002BF" w:usb1="184F6CF8" w:usb2="00000012" w:usb3="00000000" w:csb0="00160001" w:csb1="1203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Yu Gothic UI">
    <w:panose1 w:val="020B05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A0382"/>
    <w:rsid w:val="0010384A"/>
    <w:rsid w:val="001346E5"/>
    <w:rsid w:val="0017704E"/>
    <w:rsid w:val="001A0382"/>
    <w:rsid w:val="00223DD6"/>
    <w:rsid w:val="0028233F"/>
    <w:rsid w:val="002F2677"/>
    <w:rsid w:val="003D2EC2"/>
    <w:rsid w:val="00403E62"/>
    <w:rsid w:val="00482F0A"/>
    <w:rsid w:val="004D06F9"/>
    <w:rsid w:val="00531D09"/>
    <w:rsid w:val="005A5075"/>
    <w:rsid w:val="005B203A"/>
    <w:rsid w:val="005B4EE3"/>
    <w:rsid w:val="00644864"/>
    <w:rsid w:val="00820D4E"/>
    <w:rsid w:val="00882BCC"/>
    <w:rsid w:val="008C74B7"/>
    <w:rsid w:val="009074B6"/>
    <w:rsid w:val="00955D5F"/>
    <w:rsid w:val="00A159DC"/>
    <w:rsid w:val="00A64A34"/>
    <w:rsid w:val="00A82085"/>
    <w:rsid w:val="00B054FA"/>
    <w:rsid w:val="00B61704"/>
    <w:rsid w:val="00C17834"/>
    <w:rsid w:val="00CA2601"/>
    <w:rsid w:val="00D92413"/>
    <w:rsid w:val="00DC43CC"/>
    <w:rsid w:val="00DF3535"/>
    <w:rsid w:val="00E6261A"/>
    <w:rsid w:val="00F12804"/>
    <w:rsid w:val="00FC14C3"/>
    <w:rsid w:val="00FC3D60"/>
    <w:rsid w:val="7F08299C"/>
    <w:rsid w:val="FF97FF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paragraph" w:customStyle="1" w:styleId="7">
    <w:name w:val="western"/>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8">
    <w:name w:val="批注框文本 字符"/>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3199</Words>
  <Characters>3318</Characters>
  <Lines>26</Lines>
  <Paragraphs>7</Paragraphs>
  <TotalTime>97</TotalTime>
  <ScaleCrop>false</ScaleCrop>
  <LinksUpToDate>false</LinksUpToDate>
  <CharactersWithSpaces>3318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2025-01-06T10:02:00Z</dcterms:created>
  <dc:creator>tengzhou</dc:creator>
  <cp:lastModifiedBy>Mr.秦先森</cp:lastModifiedBy>
  <dcterms:modified xsi:type="dcterms:W3CDTF">2025-01-20T08:31:19Z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eyJoZGlkIjoiYWMwNTEzMTM5ZGVmNTU0NTFlOTI1YzVmMTkzNDE2ZDgiLCJ1c2VySWQiOiIyOTgxNDkwOTcifQ==</vt:lpwstr>
  </property>
  <property fmtid="{D5CDD505-2E9C-101B-9397-08002B2CF9AE}" pid="4" name="ICV">
    <vt:lpwstr>C0C94AAB772B4379A5FCEE51F7AF804A_12</vt:lpwstr>
  </property>
</Properties>
</file>