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E30C6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0" w:afterAutospacing="0" w:line="600" w:lineRule="exact"/>
        <w:jc w:val="center"/>
        <w:textAlignment w:val="auto"/>
        <w:rPr>
          <w:rFonts w:hint="eastAsia" w:ascii="方正小标宋简体" w:hAnsi="方正小标宋简体" w:eastAsia="方正小标宋简体" w:cs="方正小标宋简体"/>
          <w:bCs/>
          <w:color w:val="333333"/>
          <w:spacing w:val="-17"/>
          <w:sz w:val="44"/>
          <w:szCs w:val="44"/>
          <w:shd w:val="clear" w:color="auto" w:fill="FFFFFF"/>
        </w:rPr>
      </w:pPr>
      <w:r>
        <w:rPr>
          <w:rFonts w:hint="eastAsia" w:ascii="方正小标宋简体" w:hAnsi="方正小标宋简体" w:eastAsia="方正小标宋简体" w:cs="方正小标宋简体"/>
          <w:bCs/>
          <w:color w:val="333333"/>
          <w:spacing w:val="-17"/>
          <w:sz w:val="44"/>
          <w:szCs w:val="44"/>
          <w:shd w:val="clear" w:color="auto" w:fill="FFFFFF"/>
        </w:rPr>
        <w:t>滕州市龙泉街道办事处</w:t>
      </w:r>
    </w:p>
    <w:p w14:paraId="644FF89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0" w:afterAutospacing="0" w:line="600" w:lineRule="exact"/>
        <w:jc w:val="center"/>
        <w:textAlignment w:val="auto"/>
        <w:rPr>
          <w:rFonts w:hint="eastAsia" w:ascii="方正小标宋简体" w:hAnsi="方正小标宋简体" w:eastAsia="方正小标宋简体" w:cs="方正小标宋简体"/>
          <w:bCs/>
          <w:color w:val="333333"/>
          <w:spacing w:val="-17"/>
          <w:sz w:val="44"/>
          <w:szCs w:val="44"/>
          <w:shd w:val="clear" w:color="auto" w:fill="FFFFFF"/>
        </w:rPr>
      </w:pPr>
      <w:r>
        <w:rPr>
          <w:rFonts w:hint="eastAsia" w:ascii="方正小标宋简体" w:hAnsi="方正小标宋简体" w:eastAsia="方正小标宋简体" w:cs="方正小标宋简体"/>
          <w:bCs/>
          <w:color w:val="333333"/>
          <w:spacing w:val="-17"/>
          <w:sz w:val="44"/>
          <w:szCs w:val="44"/>
          <w:shd w:val="clear" w:color="auto" w:fill="FFFFFF"/>
        </w:rPr>
        <w:t>202</w:t>
      </w:r>
      <w:r>
        <w:rPr>
          <w:rFonts w:hint="eastAsia" w:ascii="方正小标宋简体" w:hAnsi="方正小标宋简体" w:eastAsia="方正小标宋简体" w:cs="方正小标宋简体"/>
          <w:bCs/>
          <w:color w:val="333333"/>
          <w:spacing w:val="-17"/>
          <w:sz w:val="44"/>
          <w:szCs w:val="44"/>
          <w:shd w:val="clear" w:color="auto" w:fill="FFFFFF"/>
          <w:lang w:val="en-US" w:eastAsia="zh-CN"/>
        </w:rPr>
        <w:t>4</w:t>
      </w:r>
      <w:r>
        <w:rPr>
          <w:rFonts w:hint="eastAsia" w:ascii="方正小标宋简体" w:hAnsi="方正小标宋简体" w:eastAsia="方正小标宋简体" w:cs="方正小标宋简体"/>
          <w:bCs/>
          <w:color w:val="333333"/>
          <w:spacing w:val="-17"/>
          <w:sz w:val="44"/>
          <w:szCs w:val="44"/>
          <w:shd w:val="clear" w:color="auto" w:fill="FFFFFF"/>
        </w:rPr>
        <w:t>年度政府信息公开工作年度报告</w:t>
      </w:r>
    </w:p>
    <w:p w14:paraId="4ABFB64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0" w:afterAutospacing="0" w:line="600" w:lineRule="exact"/>
        <w:ind w:firstLine="600" w:firstLineChars="200"/>
        <w:jc w:val="left"/>
        <w:textAlignment w:val="auto"/>
        <w:rPr>
          <w:rFonts w:hint="eastAsia" w:ascii="仿宋_GB2312" w:hAnsi="仿宋_GB2312" w:eastAsia="仿宋_GB2312" w:cs="仿宋_GB2312"/>
          <w:b w:val="0"/>
          <w:bCs w:val="0"/>
          <w:i w:val="0"/>
          <w:iCs w:val="0"/>
          <w:color w:val="000000"/>
          <w:spacing w:val="0"/>
          <w:sz w:val="30"/>
          <w:szCs w:val="30"/>
          <w:shd w:val="clear" w:fill="FFFFFF"/>
        </w:rPr>
      </w:pPr>
      <w:r>
        <w:rPr>
          <w:rFonts w:hint="eastAsia" w:ascii="仿宋_GB2312" w:hAnsi="仿宋_GB2312" w:eastAsia="仿宋_GB2312" w:cs="仿宋_GB2312"/>
          <w:b w:val="0"/>
          <w:bCs w:val="0"/>
          <w:i w:val="0"/>
          <w:iCs w:val="0"/>
          <w:color w:val="000000"/>
          <w:spacing w:val="0"/>
          <w:sz w:val="30"/>
          <w:szCs w:val="30"/>
          <w:shd w:val="clear" w:fill="FFFFFF"/>
        </w:rPr>
        <w:t>按照《中华人民共和国政府信息公开条例》和《国务院办公厅政府信息与政务公开办公室关于印发&lt;中华人民共和国政府信息公开工作年度报告格式&gt;的通知》（国办公开办函〔2021〕30号）以及有关文件要求，结合滕州市龙泉街道办事处202</w:t>
      </w:r>
      <w:r>
        <w:rPr>
          <w:rFonts w:hint="eastAsia" w:ascii="仿宋_GB2312" w:hAnsi="仿宋_GB2312" w:eastAsia="仿宋_GB2312" w:cs="仿宋_GB2312"/>
          <w:b w:val="0"/>
          <w:bCs w:val="0"/>
          <w:i w:val="0"/>
          <w:iCs w:val="0"/>
          <w:color w:val="000000"/>
          <w:spacing w:val="0"/>
          <w:sz w:val="30"/>
          <w:szCs w:val="30"/>
          <w:shd w:val="clear" w:fill="FFFFFF"/>
          <w:lang w:val="en-US" w:eastAsia="zh-CN"/>
        </w:rPr>
        <w:t>4</w:t>
      </w:r>
      <w:r>
        <w:rPr>
          <w:rFonts w:hint="eastAsia" w:ascii="仿宋_GB2312" w:hAnsi="仿宋_GB2312" w:eastAsia="仿宋_GB2312" w:cs="仿宋_GB2312"/>
          <w:b w:val="0"/>
          <w:bCs w:val="0"/>
          <w:i w:val="0"/>
          <w:iCs w:val="0"/>
          <w:color w:val="000000"/>
          <w:spacing w:val="0"/>
          <w:sz w:val="30"/>
          <w:szCs w:val="30"/>
          <w:shd w:val="clear" w:fill="FFFFFF"/>
        </w:rPr>
        <w:t>年度信息公开工作实际，编制了本报告。报告主要内容包括：总体情况、主动公开政府信息情况、收到和处理政府信息公开申请情况、政府信息公开行政复议、行政诉讼情况、存在的主要问题和改进情况和其他需要报告的事项。现向社会公开滕州市龙泉街道办事处202</w:t>
      </w:r>
      <w:r>
        <w:rPr>
          <w:rFonts w:hint="eastAsia" w:ascii="仿宋_GB2312" w:hAnsi="仿宋_GB2312" w:eastAsia="仿宋_GB2312" w:cs="仿宋_GB2312"/>
          <w:b w:val="0"/>
          <w:bCs w:val="0"/>
          <w:i w:val="0"/>
          <w:iCs w:val="0"/>
          <w:color w:val="000000"/>
          <w:spacing w:val="0"/>
          <w:sz w:val="30"/>
          <w:szCs w:val="30"/>
          <w:shd w:val="clear" w:fill="FFFFFF"/>
          <w:lang w:val="en-US" w:eastAsia="zh-CN"/>
        </w:rPr>
        <w:t>4</w:t>
      </w:r>
      <w:r>
        <w:rPr>
          <w:rFonts w:hint="eastAsia" w:ascii="仿宋_GB2312" w:hAnsi="仿宋_GB2312" w:eastAsia="仿宋_GB2312" w:cs="仿宋_GB2312"/>
          <w:b w:val="0"/>
          <w:bCs w:val="0"/>
          <w:i w:val="0"/>
          <w:iCs w:val="0"/>
          <w:color w:val="000000"/>
          <w:spacing w:val="0"/>
          <w:sz w:val="30"/>
          <w:szCs w:val="30"/>
          <w:shd w:val="clear" w:fill="FFFFFF"/>
        </w:rPr>
        <w:t>年政府信息公开工作年度报告。本报告所列数据的统计时限自202</w:t>
      </w:r>
      <w:r>
        <w:rPr>
          <w:rFonts w:hint="eastAsia" w:ascii="仿宋_GB2312" w:hAnsi="仿宋_GB2312" w:eastAsia="仿宋_GB2312" w:cs="仿宋_GB2312"/>
          <w:b w:val="0"/>
          <w:bCs w:val="0"/>
          <w:i w:val="0"/>
          <w:iCs w:val="0"/>
          <w:color w:val="000000"/>
          <w:spacing w:val="0"/>
          <w:sz w:val="30"/>
          <w:szCs w:val="30"/>
          <w:shd w:val="clear" w:fill="FFFFFF"/>
          <w:lang w:val="en-US" w:eastAsia="zh-CN"/>
        </w:rPr>
        <w:t>4</w:t>
      </w:r>
      <w:r>
        <w:rPr>
          <w:rFonts w:hint="eastAsia" w:ascii="仿宋_GB2312" w:hAnsi="仿宋_GB2312" w:eastAsia="仿宋_GB2312" w:cs="仿宋_GB2312"/>
          <w:b w:val="0"/>
          <w:bCs w:val="0"/>
          <w:i w:val="0"/>
          <w:iCs w:val="0"/>
          <w:color w:val="000000"/>
          <w:spacing w:val="0"/>
          <w:sz w:val="30"/>
          <w:szCs w:val="30"/>
          <w:shd w:val="clear" w:fill="FFFFFF"/>
        </w:rPr>
        <w:t>年1月1日起至202</w:t>
      </w:r>
      <w:r>
        <w:rPr>
          <w:rFonts w:hint="eastAsia" w:ascii="仿宋_GB2312" w:hAnsi="仿宋_GB2312" w:eastAsia="仿宋_GB2312" w:cs="仿宋_GB2312"/>
          <w:b w:val="0"/>
          <w:bCs w:val="0"/>
          <w:i w:val="0"/>
          <w:iCs w:val="0"/>
          <w:color w:val="000000"/>
          <w:spacing w:val="0"/>
          <w:sz w:val="30"/>
          <w:szCs w:val="30"/>
          <w:shd w:val="clear" w:fill="FFFFFF"/>
          <w:lang w:val="en-US" w:eastAsia="zh-CN"/>
        </w:rPr>
        <w:t>4</w:t>
      </w:r>
      <w:r>
        <w:rPr>
          <w:rFonts w:hint="eastAsia" w:ascii="仿宋_GB2312" w:hAnsi="仿宋_GB2312" w:eastAsia="仿宋_GB2312" w:cs="仿宋_GB2312"/>
          <w:b w:val="0"/>
          <w:bCs w:val="0"/>
          <w:i w:val="0"/>
          <w:iCs w:val="0"/>
          <w:color w:val="000000"/>
          <w:spacing w:val="0"/>
          <w:sz w:val="30"/>
          <w:szCs w:val="30"/>
          <w:shd w:val="clear" w:fill="FFFFFF"/>
        </w:rPr>
        <w:t>年12月31日止。</w:t>
      </w:r>
    </w:p>
    <w:p w14:paraId="357FC1DA">
      <w:pPr>
        <w:pStyle w:val="5"/>
        <w:keepNext w:val="0"/>
        <w:keepLines w:val="0"/>
        <w:widowControl/>
        <w:suppressLineNumbers w:val="0"/>
        <w:spacing w:before="274" w:beforeAutospacing="0" w:after="274" w:afterAutospacing="0" w:line="374" w:lineRule="atLeast"/>
        <w:jc w:val="center"/>
        <w:rPr>
          <w:rFonts w:hint="eastAsia" w:eastAsiaTheme="minorEastAsia"/>
          <w:lang w:eastAsia="zh-CN"/>
        </w:rPr>
      </w:pPr>
      <w:bookmarkStart w:id="0" w:name="图片 8"/>
      <w:bookmarkEnd w:id="0"/>
      <w:r>
        <w:rPr>
          <w:rFonts w:hint="eastAsia" w:eastAsiaTheme="minorEastAsia"/>
          <w:lang w:eastAsia="zh-CN"/>
        </w:rPr>
        <w:drawing>
          <wp:inline distT="0" distB="0" distL="114300" distR="114300">
            <wp:extent cx="5284470" cy="3954780"/>
            <wp:effectExtent l="0" t="0" r="11430" b="7620"/>
            <wp:docPr id="5" name="图片 5" descr="机构职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机构职能"/>
                    <pic:cNvPicPr>
                      <a:picLocks noChangeAspect="1"/>
                    </pic:cNvPicPr>
                  </pic:nvPicPr>
                  <pic:blipFill>
                    <a:blip r:embed="rId5"/>
                    <a:stretch>
                      <a:fillRect/>
                    </a:stretch>
                  </pic:blipFill>
                  <pic:spPr>
                    <a:xfrm>
                      <a:off x="0" y="0"/>
                      <a:ext cx="5284470" cy="3954780"/>
                    </a:xfrm>
                    <a:prstGeom prst="rect">
                      <a:avLst/>
                    </a:prstGeom>
                  </pic:spPr>
                </pic:pic>
              </a:graphicData>
            </a:graphic>
          </wp:inline>
        </w:drawing>
      </w:r>
    </w:p>
    <w:p w14:paraId="0E0A667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firstLine="634"/>
        <w:jc w:val="left"/>
        <w:textAlignment w:val="auto"/>
      </w:pPr>
      <w:r>
        <w:rPr>
          <w:rFonts w:ascii="黑体" w:hAnsi="宋体" w:eastAsia="黑体" w:cs="黑体"/>
          <w:b w:val="0"/>
          <w:bCs w:val="0"/>
          <w:i w:val="0"/>
          <w:iCs w:val="0"/>
          <w:color w:val="000000"/>
          <w:spacing w:val="0"/>
          <w:sz w:val="32"/>
          <w:szCs w:val="32"/>
          <w:shd w:val="clear" w:fill="FFFFFF"/>
        </w:rPr>
        <w:t>一、总体情况</w:t>
      </w:r>
    </w:p>
    <w:p w14:paraId="0F7F480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firstLine="634"/>
        <w:jc w:val="left"/>
        <w:textAlignment w:val="auto"/>
      </w:pPr>
      <w:r>
        <w:rPr>
          <w:rFonts w:hint="eastAsia" w:ascii="仿宋_GB2312" w:hAnsi="宋体" w:eastAsia="仿宋_GB2312" w:cs="仿宋_GB2312"/>
          <w:b w:val="0"/>
          <w:bCs w:val="0"/>
          <w:i w:val="0"/>
          <w:iCs w:val="0"/>
          <w:color w:val="000000"/>
          <w:spacing w:val="0"/>
          <w:sz w:val="32"/>
          <w:szCs w:val="32"/>
          <w:shd w:val="clear" w:fill="FFFFFF"/>
          <w:lang w:eastAsia="zh-CN"/>
        </w:rPr>
        <w:t>为深入贯彻落实党的二十大精神，进一步加强政府信息公开工作，</w:t>
      </w:r>
      <w:r>
        <w:rPr>
          <w:rFonts w:hint="default" w:ascii="Times New Roman" w:hAnsi="Times New Roman" w:eastAsia="宋体" w:cs="Times New Roman"/>
          <w:i w:val="0"/>
          <w:iCs w:val="0"/>
          <w:caps w:val="0"/>
          <w:color w:val="333333"/>
          <w:spacing w:val="0"/>
          <w:sz w:val="31"/>
          <w:szCs w:val="31"/>
        </w:rPr>
        <w:t>2024</w:t>
      </w:r>
      <w:r>
        <w:rPr>
          <w:rFonts w:ascii="仿宋_GB2312" w:hAnsi="Times New Roman" w:eastAsia="仿宋_GB2312" w:cs="仿宋_GB2312"/>
          <w:i w:val="0"/>
          <w:iCs w:val="0"/>
          <w:caps w:val="0"/>
          <w:color w:val="333333"/>
          <w:spacing w:val="0"/>
          <w:sz w:val="31"/>
          <w:szCs w:val="31"/>
        </w:rPr>
        <w:t>年，</w:t>
      </w:r>
      <w:r>
        <w:rPr>
          <w:rFonts w:hint="eastAsia" w:ascii="仿宋_GB2312" w:hAnsi="Times New Roman" w:eastAsia="仿宋_GB2312" w:cs="仿宋_GB2312"/>
          <w:i w:val="0"/>
          <w:iCs w:val="0"/>
          <w:caps w:val="0"/>
          <w:color w:val="333333"/>
          <w:spacing w:val="0"/>
          <w:sz w:val="31"/>
          <w:szCs w:val="31"/>
          <w:lang w:val="en-US" w:eastAsia="zh-CN"/>
        </w:rPr>
        <w:t>龙泉街道</w:t>
      </w:r>
      <w:r>
        <w:rPr>
          <w:rFonts w:ascii="仿宋_GB2312" w:hAnsi="Times New Roman" w:eastAsia="仿宋_GB2312" w:cs="仿宋_GB2312"/>
          <w:i w:val="0"/>
          <w:iCs w:val="0"/>
          <w:caps w:val="0"/>
          <w:color w:val="333333"/>
          <w:spacing w:val="0"/>
          <w:sz w:val="31"/>
          <w:szCs w:val="31"/>
        </w:rPr>
        <w:t>按照</w:t>
      </w:r>
      <w:r>
        <w:rPr>
          <w:rFonts w:hint="eastAsia" w:ascii="仿宋_GB2312" w:hAnsi="Times New Roman" w:eastAsia="仿宋_GB2312" w:cs="仿宋_GB2312"/>
          <w:i w:val="0"/>
          <w:iCs w:val="0"/>
          <w:caps w:val="0"/>
          <w:color w:val="333333"/>
          <w:spacing w:val="0"/>
          <w:sz w:val="31"/>
          <w:szCs w:val="31"/>
          <w:lang w:eastAsia="zh-CN"/>
        </w:rPr>
        <w:t>市</w:t>
      </w:r>
      <w:r>
        <w:rPr>
          <w:rFonts w:ascii="仿宋_GB2312" w:hAnsi="Times New Roman" w:eastAsia="仿宋_GB2312" w:cs="仿宋_GB2312"/>
          <w:i w:val="0"/>
          <w:iCs w:val="0"/>
          <w:caps w:val="0"/>
          <w:color w:val="333333"/>
          <w:spacing w:val="0"/>
          <w:sz w:val="31"/>
          <w:szCs w:val="31"/>
        </w:rPr>
        <w:t>委、</w:t>
      </w:r>
      <w:r>
        <w:rPr>
          <w:rFonts w:hint="eastAsia" w:ascii="仿宋_GB2312" w:hAnsi="Times New Roman" w:eastAsia="仿宋_GB2312" w:cs="仿宋_GB2312"/>
          <w:i w:val="0"/>
          <w:iCs w:val="0"/>
          <w:caps w:val="0"/>
          <w:color w:val="333333"/>
          <w:spacing w:val="0"/>
          <w:sz w:val="31"/>
          <w:szCs w:val="31"/>
          <w:lang w:eastAsia="zh-CN"/>
        </w:rPr>
        <w:t>市</w:t>
      </w:r>
      <w:r>
        <w:rPr>
          <w:rFonts w:ascii="仿宋_GB2312" w:hAnsi="Times New Roman" w:eastAsia="仿宋_GB2312" w:cs="仿宋_GB2312"/>
          <w:i w:val="0"/>
          <w:iCs w:val="0"/>
          <w:caps w:val="0"/>
          <w:color w:val="333333"/>
          <w:spacing w:val="0"/>
          <w:sz w:val="31"/>
          <w:szCs w:val="31"/>
        </w:rPr>
        <w:t>政府关于推进政府信息公开的部署和要求，有计划</w:t>
      </w:r>
      <w:r>
        <w:rPr>
          <w:rFonts w:hint="eastAsia" w:ascii="仿宋_GB2312" w:hAnsi="宋体" w:eastAsia="仿宋_GB2312" w:cs="仿宋_GB2312"/>
          <w:i w:val="0"/>
          <w:iCs w:val="0"/>
          <w:caps w:val="0"/>
          <w:color w:val="333333"/>
          <w:spacing w:val="0"/>
          <w:sz w:val="31"/>
          <w:szCs w:val="31"/>
        </w:rPr>
        <w:t>、有步骤地开展政府信息公开工作，健全工作机制，及时更新政府信息公开网站的各个栏目信息，打造阳光、透明、公开的政府服务形象，保障公民知情权、参与权和监督权，推动政府信息公开工作取得重要的突破。</w:t>
      </w:r>
      <w:r>
        <w:rPr>
          <w:rFonts w:hint="eastAsia" w:ascii="仿宋_GB2312" w:hAnsi="宋体" w:eastAsia="仿宋_GB2312" w:cs="仿宋_GB2312"/>
          <w:b w:val="0"/>
          <w:bCs w:val="0"/>
          <w:i w:val="0"/>
          <w:iCs w:val="0"/>
          <w:color w:val="000000"/>
          <w:spacing w:val="0"/>
          <w:sz w:val="32"/>
          <w:szCs w:val="32"/>
          <w:shd w:val="clear" w:fill="FFFFFF"/>
        </w:rPr>
        <w:t>结合龙泉街道实际，现将我街道信息公开工作情况总结如下：</w:t>
      </w:r>
    </w:p>
    <w:p w14:paraId="110B3D4E">
      <w:pPr>
        <w:pStyle w:val="5"/>
        <w:keepNext w:val="0"/>
        <w:keepLines w:val="0"/>
        <w:widowControl/>
        <w:suppressLineNumbers w:val="0"/>
        <w:spacing w:before="274" w:beforeAutospacing="0" w:after="274" w:afterAutospacing="0" w:line="374" w:lineRule="atLeast"/>
        <w:ind w:left="547" w:hanging="547"/>
        <w:jc w:val="both"/>
      </w:pPr>
      <w:bookmarkStart w:id="1" w:name="图片 12"/>
      <w:bookmarkEnd w:id="1"/>
      <w:r>
        <w:rPr>
          <w:rFonts w:ascii="方正楷体_GB2312" w:hAnsi="方正楷体_GB2312" w:eastAsia="方正楷体_GB2312" w:cs="方正楷体_GB2312"/>
          <w:i w:val="0"/>
          <w:iCs w:val="0"/>
          <w:color w:val="000000"/>
          <w:spacing w:val="0"/>
          <w:sz w:val="32"/>
          <w:szCs w:val="32"/>
        </w:rPr>
        <w:t>   （一）政府信息主动公开情况</w:t>
      </w:r>
    </w:p>
    <w:p w14:paraId="3CA61AE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0" w:afterAutospacing="0" w:line="605" w:lineRule="atLeast"/>
        <w:ind w:left="0" w:firstLine="634"/>
        <w:jc w:val="both"/>
      </w:pPr>
      <w:r>
        <w:rPr>
          <w:rFonts w:hint="eastAsia" w:ascii="仿宋_GB2312" w:eastAsia="仿宋_GB2312" w:cs="仿宋_GB2312"/>
          <w:color w:val="000000"/>
          <w:sz w:val="32"/>
          <w:szCs w:val="32"/>
          <w:shd w:val="clear" w:fill="FFFFFF"/>
        </w:rPr>
        <w:drawing>
          <wp:anchor distT="0" distB="0" distL="114300" distR="114300" simplePos="0" relativeHeight="251659264" behindDoc="1" locked="0" layoutInCell="1" allowOverlap="1">
            <wp:simplePos x="0" y="0"/>
            <wp:positionH relativeFrom="column">
              <wp:posOffset>631190</wp:posOffset>
            </wp:positionH>
            <wp:positionV relativeFrom="paragraph">
              <wp:posOffset>1958340</wp:posOffset>
            </wp:positionV>
            <wp:extent cx="4467860" cy="2603500"/>
            <wp:effectExtent l="0" t="0" r="8890" b="6350"/>
            <wp:wrapTight wrapText="bothSides">
              <wp:wrapPolygon>
                <wp:start x="0" y="0"/>
                <wp:lineTo x="0" y="21495"/>
                <wp:lineTo x="21551" y="21495"/>
                <wp:lineTo x="21551" y="0"/>
                <wp:lineTo x="0" y="0"/>
              </wp:wrapPolygon>
            </wp:wrapTight>
            <wp:docPr id="8" name="图片 8" descr="1736129171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736129171466"/>
                    <pic:cNvPicPr>
                      <a:picLocks noChangeAspect="1"/>
                    </pic:cNvPicPr>
                  </pic:nvPicPr>
                  <pic:blipFill>
                    <a:blip r:embed="rId6"/>
                    <a:stretch>
                      <a:fillRect/>
                    </a:stretch>
                  </pic:blipFill>
                  <pic:spPr>
                    <a:xfrm>
                      <a:off x="0" y="0"/>
                      <a:ext cx="4467860" cy="2603500"/>
                    </a:xfrm>
                    <a:prstGeom prst="rect">
                      <a:avLst/>
                    </a:prstGeom>
                  </pic:spPr>
                </pic:pic>
              </a:graphicData>
            </a:graphic>
          </wp:anchor>
        </w:drawing>
      </w:r>
      <w:r>
        <w:rPr>
          <w:rFonts w:hint="eastAsia" w:ascii="仿宋_GB2312" w:hAnsi="宋体" w:eastAsia="仿宋_GB2312" w:cs="仿宋_GB2312"/>
          <w:color w:val="000000"/>
          <w:sz w:val="32"/>
          <w:szCs w:val="32"/>
          <w:shd w:val="clear" w:fill="FFFFFF"/>
          <w:lang w:eastAsia="zh-CN"/>
        </w:rPr>
        <w:t>龙泉街道通过滕州市人民政府官网</w:t>
      </w:r>
      <w:r>
        <w:rPr>
          <w:rFonts w:hint="eastAsia" w:ascii="仿宋_GB2312" w:hAnsi="宋体" w:eastAsia="仿宋_GB2312" w:cs="仿宋_GB2312"/>
          <w:color w:val="000000"/>
          <w:sz w:val="32"/>
          <w:szCs w:val="32"/>
          <w:shd w:val="clear" w:fill="FFFFFF"/>
          <w:lang w:val="en-US" w:eastAsia="zh-CN"/>
        </w:rPr>
        <w:t>龙泉街道栏目</w:t>
      </w:r>
      <w:r>
        <w:rPr>
          <w:rFonts w:hint="eastAsia" w:ascii="仿宋_GB2312" w:hAnsi="宋体" w:eastAsia="仿宋_GB2312" w:cs="仿宋_GB2312"/>
          <w:color w:val="000000"/>
          <w:sz w:val="32"/>
          <w:szCs w:val="32"/>
          <w:shd w:val="clear" w:fill="FFFFFF"/>
          <w:lang w:eastAsia="zh-CN"/>
        </w:rPr>
        <w:t>、微信</w:t>
      </w:r>
      <w:r>
        <w:rPr>
          <w:rFonts w:hint="eastAsia" w:ascii="仿宋_GB2312" w:hAnsi="宋体" w:eastAsia="仿宋_GB2312" w:cs="仿宋_GB2312"/>
          <w:color w:val="000000"/>
          <w:sz w:val="32"/>
          <w:szCs w:val="32"/>
          <w:shd w:val="clear" w:fill="FFFFFF"/>
          <w:lang w:val="en-US" w:eastAsia="zh-CN"/>
        </w:rPr>
        <w:t>公众号</w:t>
      </w:r>
      <w:r>
        <w:rPr>
          <w:rFonts w:hint="eastAsia" w:ascii="仿宋_GB2312" w:hAnsi="宋体" w:eastAsia="仿宋_GB2312" w:cs="仿宋_GB2312"/>
          <w:color w:val="000000"/>
          <w:sz w:val="32"/>
          <w:szCs w:val="32"/>
          <w:shd w:val="clear" w:fill="FFFFFF"/>
          <w:lang w:eastAsia="zh-CN"/>
        </w:rPr>
        <w:t>等多种途径，及时准确地公开政府信息，共累计更新发布政务信息</w:t>
      </w:r>
      <w:r>
        <w:rPr>
          <w:rFonts w:hint="eastAsia" w:ascii="仿宋_GB2312" w:hAnsi="宋体" w:eastAsia="仿宋_GB2312" w:cs="仿宋_GB2312"/>
          <w:sz w:val="32"/>
          <w:szCs w:val="32"/>
          <w:shd w:val="clear" w:fill="FFFFFF"/>
        </w:rPr>
        <w:t>6</w:t>
      </w:r>
      <w:r>
        <w:rPr>
          <w:rFonts w:hint="eastAsia" w:ascii="仿宋_GB2312" w:hAnsi="宋体" w:eastAsia="仿宋_GB2312" w:cs="仿宋_GB2312"/>
          <w:sz w:val="32"/>
          <w:szCs w:val="32"/>
          <w:shd w:val="clear" w:fill="FFFFFF"/>
          <w:lang w:val="en-US" w:eastAsia="zh-CN"/>
        </w:rPr>
        <w:t>5</w:t>
      </w:r>
      <w:r>
        <w:rPr>
          <w:rFonts w:hint="eastAsia" w:ascii="仿宋_GB2312" w:hAnsi="宋体" w:eastAsia="仿宋_GB2312" w:cs="仿宋_GB2312"/>
          <w:sz w:val="32"/>
          <w:szCs w:val="32"/>
          <w:shd w:val="clear" w:fill="FFFFFF"/>
        </w:rPr>
        <w:t>00余篇，</w:t>
      </w:r>
      <w:r>
        <w:rPr>
          <w:rFonts w:hint="eastAsia" w:ascii="仿宋_GB2312" w:hAnsi="宋体" w:eastAsia="仿宋_GB2312" w:cs="仿宋_GB2312"/>
          <w:color w:val="000000"/>
          <w:sz w:val="32"/>
          <w:szCs w:val="32"/>
          <w:shd w:val="clear" w:fill="FFFFFF"/>
          <w:lang w:eastAsia="zh-CN"/>
        </w:rPr>
        <w:t>滕州市人民政府官网</w:t>
      </w:r>
      <w:r>
        <w:rPr>
          <w:rFonts w:hint="eastAsia" w:ascii="仿宋_GB2312" w:hAnsi="宋体" w:eastAsia="仿宋_GB2312" w:cs="仿宋_GB2312"/>
          <w:color w:val="000000"/>
          <w:sz w:val="32"/>
          <w:szCs w:val="32"/>
          <w:shd w:val="clear" w:fill="FFFFFF"/>
          <w:lang w:val="en-US" w:eastAsia="zh-CN"/>
        </w:rPr>
        <w:t>龙泉街道栏目</w:t>
      </w:r>
      <w:r>
        <w:rPr>
          <w:rFonts w:hint="eastAsia" w:ascii="仿宋_GB2312" w:hAnsi="宋体" w:eastAsia="仿宋_GB2312" w:cs="仿宋_GB2312"/>
          <w:sz w:val="32"/>
          <w:szCs w:val="32"/>
          <w:shd w:val="clear" w:fill="FFFFFF"/>
        </w:rPr>
        <w:t>3</w:t>
      </w:r>
      <w:r>
        <w:rPr>
          <w:rFonts w:hint="eastAsia" w:ascii="仿宋_GB2312" w:hAnsi="宋体" w:eastAsia="仿宋_GB2312" w:cs="仿宋_GB2312"/>
          <w:sz w:val="32"/>
          <w:szCs w:val="32"/>
          <w:shd w:val="clear" w:fill="FFFFFF"/>
          <w:lang w:val="en-US" w:eastAsia="zh-CN"/>
        </w:rPr>
        <w:t>6</w:t>
      </w:r>
      <w:r>
        <w:rPr>
          <w:rFonts w:hint="eastAsia" w:ascii="仿宋_GB2312" w:hAnsi="宋体" w:eastAsia="仿宋_GB2312" w:cs="仿宋_GB2312"/>
          <w:sz w:val="32"/>
          <w:szCs w:val="32"/>
          <w:shd w:val="clear" w:fill="FFFFFF"/>
        </w:rPr>
        <w:t>00余篇，通过微信公众平台发布信息2</w:t>
      </w:r>
      <w:r>
        <w:rPr>
          <w:rFonts w:hint="eastAsia" w:ascii="仿宋_GB2312" w:hAnsi="宋体" w:eastAsia="仿宋_GB2312" w:cs="仿宋_GB2312"/>
          <w:sz w:val="32"/>
          <w:szCs w:val="32"/>
          <w:shd w:val="clear" w:fill="FFFFFF"/>
          <w:lang w:val="en-US" w:eastAsia="zh-CN"/>
        </w:rPr>
        <w:t>9</w:t>
      </w:r>
      <w:r>
        <w:rPr>
          <w:rFonts w:hint="eastAsia" w:ascii="仿宋_GB2312" w:hAnsi="宋体" w:eastAsia="仿宋_GB2312" w:cs="仿宋_GB2312"/>
          <w:sz w:val="32"/>
          <w:szCs w:val="32"/>
          <w:shd w:val="clear" w:fill="FFFFFF"/>
        </w:rPr>
        <w:t>00余条。</w:t>
      </w:r>
    </w:p>
    <w:p w14:paraId="66E6CD5A">
      <w:pPr>
        <w:pStyle w:val="5"/>
        <w:keepNext w:val="0"/>
        <w:keepLines w:val="0"/>
        <w:widowControl/>
        <w:suppressLineNumbers w:val="0"/>
        <w:spacing w:before="274" w:beforeAutospacing="0" w:after="274" w:afterAutospacing="0" w:line="374" w:lineRule="atLeast"/>
        <w:jc w:val="center"/>
        <w:rPr>
          <w:rFonts w:hint="eastAsia" w:ascii="仿宋_GB2312" w:eastAsia="仿宋_GB2312" w:cs="仿宋_GB2312"/>
          <w:sz w:val="31"/>
          <w:szCs w:val="31"/>
          <w:shd w:val="clear" w:fill="FFFFFF"/>
        </w:rPr>
      </w:pPr>
      <w:bookmarkStart w:id="2" w:name="图片 10"/>
      <w:bookmarkEnd w:id="2"/>
      <w:r>
        <w:rPr>
          <w:rFonts w:hint="eastAsia" w:ascii="仿宋_GB2312" w:eastAsia="仿宋_GB2312" w:cs="仿宋_GB2312"/>
          <w:sz w:val="31"/>
          <w:szCs w:val="31"/>
          <w:shd w:val="clear" w:fill="FFFFFF"/>
        </w:rPr>
        <w:t> </w:t>
      </w:r>
    </w:p>
    <w:p w14:paraId="0EE2E736">
      <w:pPr>
        <w:pStyle w:val="5"/>
        <w:keepNext w:val="0"/>
        <w:keepLines w:val="0"/>
        <w:widowControl/>
        <w:suppressLineNumbers w:val="0"/>
        <w:spacing w:before="274" w:beforeAutospacing="0" w:after="274" w:afterAutospacing="0" w:line="374" w:lineRule="atLeast"/>
        <w:jc w:val="center"/>
        <w:rPr>
          <w:rFonts w:hint="eastAsia" w:ascii="仿宋_GB2312" w:eastAsia="仿宋_GB2312" w:cs="仿宋_GB2312"/>
          <w:sz w:val="31"/>
          <w:szCs w:val="31"/>
          <w:shd w:val="clear" w:fill="FFFFFF"/>
        </w:rPr>
      </w:pPr>
    </w:p>
    <w:p w14:paraId="0FF8D37E">
      <w:pPr>
        <w:pStyle w:val="5"/>
        <w:keepNext w:val="0"/>
        <w:keepLines w:val="0"/>
        <w:pageBreakBefore w:val="0"/>
        <w:widowControl/>
        <w:suppressLineNumbers w:val="0"/>
        <w:kinsoku/>
        <w:wordWrap/>
        <w:overflowPunct/>
        <w:topLinePunct w:val="0"/>
        <w:autoSpaceDE/>
        <w:autoSpaceDN/>
        <w:bidi w:val="0"/>
        <w:adjustRightInd/>
        <w:snapToGrid/>
        <w:spacing w:before="274" w:beforeAutospacing="0" w:after="274" w:afterAutospacing="0" w:line="560" w:lineRule="exact"/>
        <w:ind w:firstLine="620" w:firstLineChars="200"/>
        <w:jc w:val="left"/>
        <w:textAlignment w:val="auto"/>
        <w:rPr>
          <w:rFonts w:hint="eastAsia" w:ascii="仿宋_GB2312" w:eastAsia="仿宋_GB2312" w:cs="仿宋_GB2312"/>
          <w:sz w:val="31"/>
          <w:szCs w:val="31"/>
          <w:shd w:val="clear" w:fill="FFFFFF"/>
        </w:rPr>
      </w:pPr>
    </w:p>
    <w:p w14:paraId="26CEE9F9">
      <w:pPr>
        <w:pStyle w:val="5"/>
        <w:keepNext w:val="0"/>
        <w:keepLines w:val="0"/>
        <w:pageBreakBefore w:val="0"/>
        <w:widowControl/>
        <w:suppressLineNumbers w:val="0"/>
        <w:kinsoku/>
        <w:wordWrap/>
        <w:overflowPunct/>
        <w:topLinePunct w:val="0"/>
        <w:autoSpaceDE/>
        <w:autoSpaceDN/>
        <w:bidi w:val="0"/>
        <w:adjustRightInd/>
        <w:snapToGrid/>
        <w:spacing w:before="274" w:beforeAutospacing="0" w:after="274" w:afterAutospacing="0" w:line="560" w:lineRule="exact"/>
        <w:ind w:firstLine="620" w:firstLineChars="200"/>
        <w:jc w:val="left"/>
        <w:textAlignment w:val="auto"/>
        <w:rPr>
          <w:rFonts w:hint="eastAsia" w:ascii="仿宋_GB2312" w:eastAsia="仿宋_GB2312" w:cs="仿宋_GB2312"/>
          <w:sz w:val="31"/>
          <w:szCs w:val="31"/>
          <w:shd w:val="clear" w:fill="FFFFFF"/>
        </w:rPr>
      </w:pPr>
    </w:p>
    <w:p w14:paraId="7429D06E">
      <w:pPr>
        <w:pStyle w:val="5"/>
        <w:keepNext w:val="0"/>
        <w:keepLines w:val="0"/>
        <w:pageBreakBefore w:val="0"/>
        <w:widowControl/>
        <w:suppressLineNumbers w:val="0"/>
        <w:kinsoku/>
        <w:wordWrap/>
        <w:overflowPunct/>
        <w:topLinePunct w:val="0"/>
        <w:autoSpaceDE/>
        <w:autoSpaceDN/>
        <w:bidi w:val="0"/>
        <w:adjustRightInd/>
        <w:snapToGrid/>
        <w:spacing w:before="274" w:beforeAutospacing="0" w:after="274" w:afterAutospacing="0" w:line="560" w:lineRule="exact"/>
        <w:ind w:firstLine="620" w:firstLineChars="200"/>
        <w:jc w:val="left"/>
        <w:textAlignment w:val="auto"/>
        <w:rPr>
          <w:rFonts w:hint="eastAsia" w:ascii="仿宋_GB2312" w:eastAsia="仿宋_GB2312" w:cs="仿宋_GB2312"/>
          <w:sz w:val="31"/>
          <w:szCs w:val="31"/>
          <w:shd w:val="clear" w:fill="FFFFFF"/>
        </w:rPr>
      </w:pPr>
      <w:r>
        <w:rPr>
          <w:rFonts w:hint="eastAsia" w:ascii="仿宋_GB2312" w:eastAsia="仿宋_GB2312" w:cs="仿宋_GB2312"/>
          <w:sz w:val="31"/>
          <w:szCs w:val="31"/>
          <w:shd w:val="clear" w:fill="FFFFFF"/>
        </w:rPr>
        <w:t>一是突出重点领域信息公开。202</w:t>
      </w:r>
      <w:r>
        <w:rPr>
          <w:rFonts w:hint="eastAsia" w:ascii="仿宋_GB2312" w:eastAsia="仿宋_GB2312" w:cs="仿宋_GB2312"/>
          <w:sz w:val="31"/>
          <w:szCs w:val="31"/>
          <w:shd w:val="clear" w:fill="FFFFFF"/>
          <w:lang w:val="en-US" w:eastAsia="zh-CN"/>
        </w:rPr>
        <w:t>4</w:t>
      </w:r>
      <w:r>
        <w:rPr>
          <w:rFonts w:hint="eastAsia" w:ascii="仿宋_GB2312" w:eastAsia="仿宋_GB2312" w:cs="仿宋_GB2312"/>
          <w:sz w:val="31"/>
          <w:szCs w:val="31"/>
          <w:shd w:val="clear" w:fill="FFFFFF"/>
        </w:rPr>
        <w:t>年，主动公开重点领域信息共</w:t>
      </w:r>
      <w:r>
        <w:rPr>
          <w:rFonts w:hint="eastAsia" w:ascii="仿宋_GB2312" w:eastAsia="仿宋_GB2312" w:cs="仿宋_GB2312"/>
          <w:sz w:val="31"/>
          <w:szCs w:val="31"/>
          <w:shd w:val="clear" w:fill="FFFFFF"/>
          <w:lang w:val="en-US" w:eastAsia="zh-CN"/>
        </w:rPr>
        <w:t>18</w:t>
      </w:r>
      <w:r>
        <w:rPr>
          <w:rFonts w:hint="eastAsia" w:ascii="仿宋_GB2312" w:eastAsia="仿宋_GB2312" w:cs="仿宋_GB2312"/>
          <w:sz w:val="31"/>
          <w:szCs w:val="31"/>
          <w:shd w:val="clear" w:fill="FFFFFF"/>
        </w:rPr>
        <w:t>条。</w:t>
      </w:r>
    </w:p>
    <w:p w14:paraId="43C8409C">
      <w:pPr>
        <w:pStyle w:val="5"/>
        <w:keepNext w:val="0"/>
        <w:keepLines w:val="0"/>
        <w:widowControl/>
        <w:suppressLineNumbers w:val="0"/>
        <w:spacing w:before="274" w:beforeAutospacing="0" w:after="274" w:afterAutospacing="0" w:line="562" w:lineRule="atLeast"/>
        <w:jc w:val="both"/>
        <w:rPr>
          <w:rFonts w:hint="eastAsia" w:ascii="仿宋_GB2312" w:hAnsi="宋体" w:eastAsia="仿宋_GB2312" w:cs="仿宋_GB2312"/>
          <w:b w:val="0"/>
          <w:bCs w:val="0"/>
          <w:color w:val="000000"/>
          <w:sz w:val="32"/>
          <w:szCs w:val="32"/>
          <w:shd w:val="clear" w:fill="FFFFFF"/>
        </w:rPr>
      </w:pPr>
      <w:bookmarkStart w:id="3" w:name="图片 13"/>
      <w:bookmarkEnd w:id="3"/>
      <w:r>
        <w:drawing>
          <wp:anchor distT="0" distB="0" distL="114300" distR="114300" simplePos="0" relativeHeight="251661312" behindDoc="0" locked="0" layoutInCell="1" allowOverlap="1">
            <wp:simplePos x="0" y="0"/>
            <wp:positionH relativeFrom="column">
              <wp:posOffset>-579755</wp:posOffset>
            </wp:positionH>
            <wp:positionV relativeFrom="paragraph">
              <wp:posOffset>322580</wp:posOffset>
            </wp:positionV>
            <wp:extent cx="2844165" cy="3323590"/>
            <wp:effectExtent l="0" t="0" r="13335" b="10160"/>
            <wp:wrapSquare wrapText="bothSides"/>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7"/>
                    <a:stretch>
                      <a:fillRect/>
                    </a:stretch>
                  </pic:blipFill>
                  <pic:spPr>
                    <a:xfrm>
                      <a:off x="0" y="0"/>
                      <a:ext cx="2844165" cy="3323590"/>
                    </a:xfrm>
                    <a:prstGeom prst="rect">
                      <a:avLst/>
                    </a:prstGeom>
                    <a:noFill/>
                    <a:ln>
                      <a:noFill/>
                    </a:ln>
                  </pic:spPr>
                </pic:pic>
              </a:graphicData>
            </a:graphic>
          </wp:anchor>
        </w:drawing>
      </w:r>
      <w:r>
        <w:rPr>
          <w:rFonts w:hint="eastAsia" w:eastAsiaTheme="minorEastAsia"/>
          <w:lang w:eastAsia="zh-CN"/>
        </w:rPr>
        <w:drawing>
          <wp:anchor distT="0" distB="0" distL="114300" distR="114300" simplePos="0" relativeHeight="251660288" behindDoc="0" locked="0" layoutInCell="1" allowOverlap="1">
            <wp:simplePos x="0" y="0"/>
            <wp:positionH relativeFrom="column">
              <wp:posOffset>2632075</wp:posOffset>
            </wp:positionH>
            <wp:positionV relativeFrom="paragraph">
              <wp:posOffset>550545</wp:posOffset>
            </wp:positionV>
            <wp:extent cx="2884170" cy="2620645"/>
            <wp:effectExtent l="0" t="0" r="11430" b="8255"/>
            <wp:wrapSquare wrapText="bothSides"/>
            <wp:docPr id="6" name="图片 6" descr="公开内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公开内容"/>
                    <pic:cNvPicPr>
                      <a:picLocks noChangeAspect="1"/>
                    </pic:cNvPicPr>
                  </pic:nvPicPr>
                  <pic:blipFill>
                    <a:blip r:embed="rId8"/>
                    <a:stretch>
                      <a:fillRect/>
                    </a:stretch>
                  </pic:blipFill>
                  <pic:spPr>
                    <a:xfrm>
                      <a:off x="0" y="0"/>
                      <a:ext cx="2884170" cy="2620645"/>
                    </a:xfrm>
                    <a:prstGeom prst="rect">
                      <a:avLst/>
                    </a:prstGeom>
                  </pic:spPr>
                </pic:pic>
              </a:graphicData>
            </a:graphic>
          </wp:anchor>
        </w:drawing>
      </w:r>
      <w:r>
        <w:rPr>
          <w:rFonts w:hint="eastAsia" w:ascii="仿宋_GB2312" w:eastAsia="仿宋_GB2312" w:cs="仿宋_GB2312"/>
          <w:color w:val="000000"/>
          <w:sz w:val="32"/>
          <w:szCs w:val="32"/>
          <w:shd w:val="clear" w:fill="FFFFFF"/>
        </w:rPr>
        <w:t> </w:t>
      </w:r>
    </w:p>
    <w:p w14:paraId="1C2BAE1A">
      <w:pPr>
        <w:pStyle w:val="2"/>
        <w:keepNext w:val="0"/>
        <w:keepLines w:val="0"/>
        <w:widowControl/>
        <w:suppressLineNumbers w:val="0"/>
        <w:spacing w:line="562" w:lineRule="atLeast"/>
        <w:ind w:left="0" w:firstLine="634"/>
        <w:jc w:val="left"/>
        <w:rPr>
          <w:rFonts w:hint="eastAsia" w:ascii="仿宋_GB2312" w:hAnsi="宋体" w:eastAsia="仿宋_GB2312" w:cs="仿宋_GB2312"/>
          <w:b w:val="0"/>
          <w:bCs w:val="0"/>
          <w:color w:val="000000"/>
          <w:sz w:val="32"/>
          <w:szCs w:val="32"/>
          <w:shd w:val="clear" w:fill="FFFFFF"/>
        </w:rPr>
      </w:pPr>
    </w:p>
    <w:p w14:paraId="43775017">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firstLine="634"/>
        <w:jc w:val="left"/>
        <w:textAlignment w:val="auto"/>
      </w:pPr>
      <w:r>
        <w:rPr>
          <w:rFonts w:hint="eastAsia" w:ascii="仿宋_GB2312" w:hAnsi="宋体" w:eastAsia="仿宋_GB2312" w:cs="仿宋_GB2312"/>
          <w:b w:val="0"/>
          <w:bCs w:val="0"/>
          <w:color w:val="000000"/>
          <w:sz w:val="32"/>
          <w:szCs w:val="32"/>
          <w:shd w:val="clear" w:fill="FFFFFF"/>
        </w:rPr>
        <w:t>二是坚持以人民为中心深化政务公开。紧紧围绕经济社会发展和人民群众关注关切，以公开促落实，以公开促规范，以公开促服务。严格按照政务信息形成或更新的要求，及时公开重点信息、及时更新政务信息、及时解读相关信息。真正让政务公开服务广大群众、改造营商环境</w:t>
      </w:r>
      <w:r>
        <w:rPr>
          <w:rFonts w:hint="eastAsia" w:ascii="仿宋_GB2312" w:hAnsi="宋体" w:eastAsia="仿宋_GB2312" w:cs="仿宋_GB2312"/>
          <w:b w:val="0"/>
          <w:bCs w:val="0"/>
          <w:sz w:val="32"/>
          <w:szCs w:val="32"/>
        </w:rPr>
        <w:t>。</w:t>
      </w:r>
    </w:p>
    <w:p w14:paraId="75908598">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firstLine="418"/>
        <w:jc w:val="both"/>
        <w:textAlignment w:val="auto"/>
      </w:pPr>
      <w:r>
        <w:rPr>
          <w:rFonts w:hint="default" w:ascii="方正楷体_GB2312" w:hAnsi="方正楷体_GB2312" w:eastAsia="方正楷体_GB2312" w:cs="方正楷体_GB2312"/>
          <w:b w:val="0"/>
          <w:bCs w:val="0"/>
          <w:color w:val="000000"/>
          <w:sz w:val="32"/>
          <w:szCs w:val="32"/>
          <w:u w:val="none"/>
          <w:shd w:val="clear" w:fill="FFFFFF"/>
        </w:rPr>
        <w:t>（二）收到和处理政府信息公开申请情况</w:t>
      </w:r>
    </w:p>
    <w:p w14:paraId="25E6A4B7">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firstLine="630"/>
        <w:textAlignment w:val="auto"/>
      </w:pPr>
      <w:r>
        <w:rPr>
          <w:rFonts w:hint="eastAsia" w:ascii="仿宋_GB2312" w:eastAsia="仿宋_GB2312" w:cs="仿宋_GB2312"/>
          <w:spacing w:val="0"/>
          <w:sz w:val="31"/>
          <w:szCs w:val="31"/>
        </w:rPr>
        <w:t>龙泉街道办事处坚持</w:t>
      </w:r>
      <w:r>
        <w:rPr>
          <w:spacing w:val="0"/>
          <w:sz w:val="31"/>
          <w:szCs w:val="31"/>
        </w:rPr>
        <w:t>“</w:t>
      </w:r>
      <w:r>
        <w:rPr>
          <w:rFonts w:hint="eastAsia" w:ascii="仿宋_GB2312" w:eastAsia="仿宋_GB2312" w:cs="仿宋_GB2312"/>
          <w:spacing w:val="0"/>
          <w:sz w:val="31"/>
          <w:szCs w:val="31"/>
        </w:rPr>
        <w:t>归口办理、依法有据、严谨规范、慎重稳妥</w:t>
      </w:r>
      <w:r>
        <w:rPr>
          <w:spacing w:val="0"/>
          <w:sz w:val="31"/>
          <w:szCs w:val="31"/>
        </w:rPr>
        <w:t>”</w:t>
      </w:r>
      <w:r>
        <w:rPr>
          <w:rFonts w:hint="eastAsia" w:ascii="仿宋_GB2312" w:eastAsia="仿宋_GB2312" w:cs="仿宋_GB2312"/>
          <w:spacing w:val="0"/>
          <w:sz w:val="31"/>
          <w:szCs w:val="31"/>
        </w:rPr>
        <w:t>的原则，完善受理、审查、处理、答复以及保存备查等各环节流程,保证依申请公开流程科学、程序合法、答复规范，示范指引，真正提升效能、服务于民。</w:t>
      </w:r>
    </w:p>
    <w:p w14:paraId="46C862EF">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firstLine="630"/>
        <w:textAlignment w:val="auto"/>
        <w:rPr>
          <w:rFonts w:hint="eastAsia" w:ascii="仿宋_GB2312" w:eastAsia="仿宋_GB2312" w:cs="仿宋_GB2312"/>
          <w:spacing w:val="0"/>
          <w:sz w:val="31"/>
          <w:szCs w:val="31"/>
          <w:lang w:val="en-US" w:eastAsia="zh-CN"/>
        </w:rPr>
      </w:pPr>
      <w:r>
        <w:rPr>
          <w:rFonts w:hint="eastAsia" w:ascii="仿宋_GB2312" w:eastAsia="仿宋_GB2312" w:cs="仿宋_GB2312"/>
          <w:spacing w:val="0"/>
          <w:sz w:val="31"/>
          <w:szCs w:val="31"/>
        </w:rPr>
        <w:t>202</w:t>
      </w:r>
      <w:r>
        <w:rPr>
          <w:rFonts w:hint="eastAsia" w:ascii="仿宋_GB2312" w:eastAsia="仿宋_GB2312" w:cs="仿宋_GB2312"/>
          <w:spacing w:val="0"/>
          <w:sz w:val="31"/>
          <w:szCs w:val="31"/>
          <w:lang w:val="en-US" w:eastAsia="zh-CN"/>
        </w:rPr>
        <w:t>4</w:t>
      </w:r>
      <w:r>
        <w:rPr>
          <w:rFonts w:hint="eastAsia" w:ascii="仿宋_GB2312" w:eastAsia="仿宋_GB2312" w:cs="仿宋_GB2312"/>
          <w:spacing w:val="0"/>
          <w:sz w:val="31"/>
          <w:szCs w:val="31"/>
        </w:rPr>
        <w:t>年，新收</w:t>
      </w:r>
      <w:r>
        <w:rPr>
          <w:rFonts w:hint="eastAsia" w:ascii="仿宋_GB2312" w:eastAsia="仿宋_GB2312" w:cs="仿宋_GB2312"/>
          <w:spacing w:val="0"/>
          <w:sz w:val="31"/>
          <w:szCs w:val="31"/>
          <w:lang w:val="en-US" w:eastAsia="zh-CN"/>
        </w:rPr>
        <w:t>10</w:t>
      </w:r>
      <w:r>
        <w:rPr>
          <w:rFonts w:hint="eastAsia" w:ascii="仿宋_GB2312" w:eastAsia="仿宋_GB2312" w:cs="仿宋_GB2312"/>
          <w:spacing w:val="0"/>
          <w:sz w:val="31"/>
          <w:szCs w:val="31"/>
        </w:rPr>
        <w:t>件政府信息公开申请，上年结转0件，合计</w:t>
      </w:r>
      <w:r>
        <w:rPr>
          <w:rFonts w:hint="eastAsia" w:ascii="仿宋_GB2312" w:eastAsia="仿宋_GB2312" w:cs="仿宋_GB2312"/>
          <w:spacing w:val="0"/>
          <w:sz w:val="31"/>
          <w:szCs w:val="31"/>
          <w:lang w:val="en-US" w:eastAsia="zh-CN"/>
        </w:rPr>
        <w:t>10</w:t>
      </w:r>
      <w:r>
        <w:rPr>
          <w:rFonts w:hint="eastAsia" w:ascii="仿宋_GB2312" w:eastAsia="仿宋_GB2312" w:cs="仿宋_GB2312"/>
          <w:spacing w:val="0"/>
          <w:sz w:val="31"/>
          <w:szCs w:val="31"/>
        </w:rPr>
        <w:t>件。自然人申请</w:t>
      </w:r>
      <w:r>
        <w:rPr>
          <w:rFonts w:hint="eastAsia" w:ascii="仿宋_GB2312" w:eastAsia="仿宋_GB2312" w:cs="仿宋_GB2312"/>
          <w:spacing w:val="0"/>
          <w:sz w:val="31"/>
          <w:szCs w:val="31"/>
          <w:lang w:val="en-US" w:eastAsia="zh-CN"/>
        </w:rPr>
        <w:t>10</w:t>
      </w:r>
      <w:r>
        <w:rPr>
          <w:rFonts w:hint="eastAsia" w:ascii="仿宋_GB2312" w:eastAsia="仿宋_GB2312" w:cs="仿宋_GB2312"/>
          <w:spacing w:val="0"/>
          <w:sz w:val="31"/>
          <w:szCs w:val="31"/>
        </w:rPr>
        <w:t>件</w:t>
      </w:r>
      <w:r>
        <w:rPr>
          <w:rFonts w:hint="eastAsia" w:ascii="仿宋_GB2312" w:eastAsia="仿宋_GB2312" w:cs="仿宋_GB2312"/>
          <w:spacing w:val="0"/>
          <w:sz w:val="31"/>
          <w:szCs w:val="31"/>
          <w:lang w:eastAsia="zh-CN"/>
        </w:rPr>
        <w:t>：</w:t>
      </w:r>
      <w:r>
        <w:rPr>
          <w:rFonts w:hint="eastAsia" w:ascii="仿宋_GB2312" w:eastAsia="仿宋_GB2312" w:cs="仿宋_GB2312"/>
          <w:spacing w:val="0"/>
          <w:sz w:val="31"/>
          <w:szCs w:val="31"/>
        </w:rPr>
        <w:t>其中予以公开3件,部分公开3件</w:t>
      </w:r>
      <w:r>
        <w:rPr>
          <w:rFonts w:hint="eastAsia" w:ascii="仿宋_GB2312" w:eastAsia="仿宋_GB2312" w:cs="仿宋_GB2312"/>
          <w:spacing w:val="0"/>
          <w:sz w:val="31"/>
          <w:szCs w:val="31"/>
          <w:lang w:eastAsia="zh-CN"/>
        </w:rPr>
        <w:t>，</w:t>
      </w:r>
      <w:r>
        <w:rPr>
          <w:rFonts w:hint="eastAsia" w:ascii="仿宋_GB2312" w:eastAsia="仿宋_GB2312" w:cs="仿宋_GB2312"/>
          <w:spacing w:val="0"/>
          <w:sz w:val="31"/>
          <w:szCs w:val="31"/>
          <w:lang w:val="en-US" w:eastAsia="zh-CN"/>
        </w:rPr>
        <w:t>被行政复议1件，行政诉讼1件，</w:t>
      </w:r>
      <w:bookmarkStart w:id="13" w:name="_GoBack"/>
      <w:bookmarkEnd w:id="13"/>
      <w:r>
        <w:rPr>
          <w:rFonts w:hint="eastAsia" w:ascii="仿宋_GB2312" w:eastAsia="仿宋_GB2312" w:cs="仿宋_GB2312"/>
          <w:spacing w:val="0"/>
          <w:sz w:val="31"/>
          <w:szCs w:val="31"/>
          <w:lang w:val="en-US" w:eastAsia="zh-CN"/>
        </w:rPr>
        <w:t>本机关不掌握相关政策信息1件，其他1件。</w:t>
      </w:r>
    </w:p>
    <w:p w14:paraId="7E174115">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firstLine="630"/>
        <w:textAlignment w:val="auto"/>
      </w:pPr>
      <w:r>
        <w:rPr>
          <w:rFonts w:hint="eastAsia" w:ascii="仿宋_GB2312" w:eastAsia="仿宋_GB2312" w:cs="仿宋_GB2312"/>
          <w:spacing w:val="0"/>
          <w:sz w:val="31"/>
          <w:szCs w:val="31"/>
        </w:rPr>
        <w:t>与202</w:t>
      </w:r>
      <w:r>
        <w:rPr>
          <w:rFonts w:hint="eastAsia" w:ascii="仿宋_GB2312" w:eastAsia="仿宋_GB2312" w:cs="仿宋_GB2312"/>
          <w:spacing w:val="0"/>
          <w:sz w:val="31"/>
          <w:szCs w:val="31"/>
          <w:lang w:val="en-US" w:eastAsia="zh-CN"/>
        </w:rPr>
        <w:t>3</w:t>
      </w:r>
      <w:r>
        <w:rPr>
          <w:rFonts w:hint="eastAsia" w:ascii="仿宋_GB2312" w:eastAsia="仿宋_GB2312" w:cs="仿宋_GB2312"/>
          <w:spacing w:val="0"/>
          <w:sz w:val="31"/>
          <w:szCs w:val="31"/>
        </w:rPr>
        <w:t>年相比数量有所增加。</w:t>
      </w:r>
    </w:p>
    <w:p w14:paraId="67A2D1C0">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firstLine="418"/>
        <w:jc w:val="both"/>
        <w:textAlignment w:val="auto"/>
      </w:pPr>
      <w:r>
        <w:rPr>
          <w:rFonts w:hint="default" w:ascii="方正楷体_GB2312" w:hAnsi="方正楷体_GB2312" w:eastAsia="方正楷体_GB2312" w:cs="方正楷体_GB2312"/>
          <w:b w:val="0"/>
          <w:bCs w:val="0"/>
          <w:color w:val="000000"/>
          <w:sz w:val="32"/>
          <w:szCs w:val="32"/>
          <w:shd w:val="clear" w:fill="FFFFFF"/>
        </w:rPr>
        <w:t>（三）政府信息管理情况</w:t>
      </w:r>
    </w:p>
    <w:p w14:paraId="5B8E0A4E">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firstLine="634"/>
        <w:jc w:val="both"/>
        <w:textAlignment w:val="auto"/>
        <w:rPr>
          <w:sz w:val="19"/>
          <w:szCs w:val="19"/>
        </w:rPr>
      </w:pPr>
      <w:r>
        <w:rPr>
          <w:rFonts w:hint="eastAsia" w:ascii="仿宋_GB2312" w:eastAsia="仿宋_GB2312" w:cs="仿宋_GB2312"/>
          <w:b w:val="0"/>
          <w:bCs w:val="0"/>
          <w:color w:val="000000"/>
          <w:sz w:val="32"/>
          <w:szCs w:val="32"/>
          <w:shd w:val="clear" w:fill="FFFFFF"/>
        </w:rPr>
        <w:t>202</w:t>
      </w:r>
      <w:r>
        <w:rPr>
          <w:rFonts w:hint="eastAsia" w:ascii="仿宋_GB2312" w:eastAsia="仿宋_GB2312" w:cs="仿宋_GB2312"/>
          <w:b w:val="0"/>
          <w:bCs w:val="0"/>
          <w:color w:val="000000"/>
          <w:sz w:val="32"/>
          <w:szCs w:val="32"/>
          <w:shd w:val="clear" w:fill="FFFFFF"/>
          <w:lang w:val="en-US" w:eastAsia="zh-CN"/>
        </w:rPr>
        <w:t>4</w:t>
      </w:r>
      <w:r>
        <w:rPr>
          <w:rFonts w:hint="eastAsia" w:ascii="仿宋_GB2312" w:eastAsia="仿宋_GB2312" w:cs="仿宋_GB2312"/>
          <w:b w:val="0"/>
          <w:bCs w:val="0"/>
          <w:color w:val="000000"/>
          <w:sz w:val="32"/>
          <w:szCs w:val="32"/>
        </w:rPr>
        <w:t>年以来，龙泉街道坚持依规范管理政府信息公开情况，一方面</w:t>
      </w:r>
      <w:r>
        <w:rPr>
          <w:rFonts w:hint="eastAsia" w:ascii="仿宋_GB2312" w:hAnsi="宋体" w:eastAsia="仿宋_GB2312" w:cs="仿宋_GB2312"/>
          <w:b w:val="0"/>
          <w:bCs w:val="0"/>
          <w:color w:val="000000"/>
          <w:sz w:val="32"/>
          <w:szCs w:val="32"/>
          <w:shd w:val="clear" w:fill="FFFFFF"/>
          <w:lang w:eastAsia="zh-CN"/>
        </w:rPr>
        <w:t>开展现行有效政策文件全面清理工作，推进依法行政，促进法治政府建设。</w:t>
      </w:r>
      <w:r>
        <w:rPr>
          <w:rFonts w:hint="eastAsia" w:ascii="仿宋_GB2312" w:eastAsia="仿宋_GB2312" w:cs="仿宋_GB2312"/>
          <w:b w:val="0"/>
          <w:bCs w:val="0"/>
          <w:color w:val="000000"/>
          <w:sz w:val="32"/>
          <w:szCs w:val="32"/>
        </w:rPr>
        <w:t>另一方面明确信息公开时限要求，确保信息上传及时、避免出现空白栏目，扎实做好信息上传维护工作。落实保密审查，确保了涉密信息不公开，使政府信息公开工作进一步向规范化、制度化方向发展，逐步形成长效管理机制。</w:t>
      </w:r>
    </w:p>
    <w:p w14:paraId="4188F657">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firstLine="418"/>
        <w:jc w:val="both"/>
        <w:textAlignment w:val="auto"/>
      </w:pPr>
      <w:r>
        <w:rPr>
          <w:rFonts w:hint="default" w:ascii="方正楷体_GB2312" w:hAnsi="方正楷体_GB2312" w:eastAsia="方正楷体_GB2312" w:cs="方正楷体_GB2312"/>
          <w:b w:val="0"/>
          <w:bCs w:val="0"/>
          <w:color w:val="000000"/>
          <w:sz w:val="32"/>
          <w:szCs w:val="32"/>
          <w:shd w:val="clear" w:fill="FFFFFF"/>
        </w:rPr>
        <w:t>（四）公开平台建设情况</w:t>
      </w:r>
    </w:p>
    <w:p w14:paraId="310F0941">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firstLine="645"/>
        <w:textAlignment w:val="auto"/>
        <w:rPr>
          <w:rFonts w:hint="eastAsia" w:ascii="仿宋_GB2312" w:eastAsia="仿宋_GB2312" w:cs="仿宋_GB2312"/>
          <w:spacing w:val="0"/>
          <w:sz w:val="31"/>
          <w:szCs w:val="31"/>
        </w:rPr>
      </w:pPr>
      <w:r>
        <w:rPr>
          <w:rFonts w:hint="eastAsia" w:ascii="仿宋_GB2312" w:eastAsia="仿宋_GB2312" w:cs="仿宋_GB2312"/>
          <w:spacing w:val="0"/>
          <w:sz w:val="31"/>
          <w:szCs w:val="31"/>
          <w:shd w:val="clear" w:fill="FFFFFF"/>
        </w:rPr>
        <w:t>202</w:t>
      </w:r>
      <w:r>
        <w:rPr>
          <w:rFonts w:hint="eastAsia" w:ascii="仿宋_GB2312" w:eastAsia="仿宋_GB2312" w:cs="仿宋_GB2312"/>
          <w:spacing w:val="0"/>
          <w:sz w:val="31"/>
          <w:szCs w:val="31"/>
          <w:shd w:val="clear" w:fill="FFFFFF"/>
          <w:lang w:val="en-US" w:eastAsia="zh-CN"/>
        </w:rPr>
        <w:t>4</w:t>
      </w:r>
      <w:r>
        <w:rPr>
          <w:rFonts w:hint="eastAsia" w:ascii="仿宋_GB2312" w:eastAsia="仿宋_GB2312" w:cs="仿宋_GB2312"/>
          <w:spacing w:val="0"/>
          <w:sz w:val="31"/>
          <w:szCs w:val="31"/>
        </w:rPr>
        <w:t>年，我街道对政务公开网站各栏目进行全面核查，确保信息上传及时、避免出现空白栏目，扎实做好信息上传维护工作。同时通过微信公众号</w:t>
      </w:r>
      <w:r>
        <w:rPr>
          <w:rFonts w:hint="eastAsia" w:ascii="仿宋_GB2312" w:eastAsia="仿宋_GB2312" w:cs="仿宋_GB2312"/>
          <w:spacing w:val="0"/>
          <w:sz w:val="31"/>
          <w:szCs w:val="31"/>
          <w:lang w:val="en-US" w:eastAsia="zh-CN"/>
        </w:rPr>
        <w:t>、微信视频号以及“泉馨居”智慧驿站</w:t>
      </w:r>
      <w:r>
        <w:rPr>
          <w:rFonts w:hint="eastAsia" w:ascii="仿宋_GB2312" w:eastAsia="仿宋_GB2312" w:cs="仿宋_GB2312"/>
          <w:spacing w:val="0"/>
          <w:sz w:val="31"/>
          <w:szCs w:val="31"/>
        </w:rPr>
        <w:t>及时收集社情民意，及时回答并解决公众关</w:t>
      </w:r>
      <w:r>
        <w:rPr>
          <w:rFonts w:hint="eastAsia" w:ascii="仿宋_GB2312" w:eastAsia="仿宋_GB2312" w:cs="仿宋_GB2312"/>
          <w:spacing w:val="0"/>
          <w:sz w:val="31"/>
          <w:szCs w:val="31"/>
          <w:lang w:val="en-US" w:eastAsia="zh-CN"/>
        </w:rPr>
        <w:t>注</w:t>
      </w:r>
      <w:r>
        <w:rPr>
          <w:rFonts w:hint="eastAsia" w:ascii="仿宋_GB2312" w:eastAsia="仿宋_GB2312" w:cs="仿宋_GB2312"/>
          <w:spacing w:val="0"/>
          <w:sz w:val="31"/>
          <w:szCs w:val="31"/>
        </w:rPr>
        <w:t>的热点、难点、焦点问题，增强了公众对政府的信任度。</w:t>
      </w:r>
    </w:p>
    <w:p w14:paraId="19CD16B3">
      <w:pPr>
        <w:pStyle w:val="5"/>
        <w:keepNext w:val="0"/>
        <w:keepLines w:val="0"/>
        <w:widowControl/>
        <w:suppressLineNumbers w:val="0"/>
        <w:spacing w:line="555" w:lineRule="atLeast"/>
        <w:ind w:left="0" w:firstLine="645"/>
        <w:rPr>
          <w:rFonts w:hint="eastAsia" w:ascii="仿宋_GB2312" w:eastAsia="仿宋_GB2312" w:cs="仿宋_GB2312"/>
          <w:spacing w:val="0"/>
          <w:sz w:val="31"/>
          <w:szCs w:val="31"/>
          <w:lang w:eastAsia="zh-CN"/>
        </w:rPr>
      </w:pPr>
      <w:r>
        <w:rPr>
          <w:rFonts w:hint="eastAsia" w:ascii="仿宋_GB2312" w:eastAsia="仿宋_GB2312" w:cs="仿宋_GB2312"/>
          <w:spacing w:val="0"/>
          <w:sz w:val="31"/>
          <w:szCs w:val="31"/>
          <w:lang w:eastAsia="zh-CN"/>
        </w:rPr>
        <w:drawing>
          <wp:inline distT="0" distB="0" distL="114300" distR="114300">
            <wp:extent cx="1488440" cy="3327400"/>
            <wp:effectExtent l="0" t="0" r="16510" b="6350"/>
            <wp:docPr id="1" name="图片 1" descr="56c1290788c66e50e61eb2492605d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56c1290788c66e50e61eb2492605dd0"/>
                    <pic:cNvPicPr>
                      <a:picLocks noChangeAspect="1"/>
                    </pic:cNvPicPr>
                  </pic:nvPicPr>
                  <pic:blipFill>
                    <a:blip r:embed="rId9"/>
                    <a:stretch>
                      <a:fillRect/>
                    </a:stretch>
                  </pic:blipFill>
                  <pic:spPr>
                    <a:xfrm>
                      <a:off x="0" y="0"/>
                      <a:ext cx="1488440" cy="3327400"/>
                    </a:xfrm>
                    <a:prstGeom prst="rect">
                      <a:avLst/>
                    </a:prstGeom>
                  </pic:spPr>
                </pic:pic>
              </a:graphicData>
            </a:graphic>
          </wp:inline>
        </w:drawing>
      </w:r>
      <w:r>
        <w:rPr>
          <w:rFonts w:hint="eastAsia" w:ascii="仿宋_GB2312" w:eastAsia="仿宋_GB2312" w:cs="仿宋_GB2312"/>
          <w:spacing w:val="0"/>
          <w:sz w:val="31"/>
          <w:szCs w:val="31"/>
          <w:lang w:eastAsia="zh-CN"/>
        </w:rPr>
        <w:drawing>
          <wp:inline distT="0" distB="0" distL="114300" distR="114300">
            <wp:extent cx="1470660" cy="3285490"/>
            <wp:effectExtent l="0" t="0" r="15240" b="10160"/>
            <wp:docPr id="3" name="图片 3" descr="5c09ea2d9de00256d691da806ff9e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5c09ea2d9de00256d691da806ff9e9a"/>
                    <pic:cNvPicPr>
                      <a:picLocks noChangeAspect="1"/>
                    </pic:cNvPicPr>
                  </pic:nvPicPr>
                  <pic:blipFill>
                    <a:blip r:embed="rId10"/>
                    <a:stretch>
                      <a:fillRect/>
                    </a:stretch>
                  </pic:blipFill>
                  <pic:spPr>
                    <a:xfrm>
                      <a:off x="0" y="0"/>
                      <a:ext cx="1470660" cy="3285490"/>
                    </a:xfrm>
                    <a:prstGeom prst="rect">
                      <a:avLst/>
                    </a:prstGeom>
                  </pic:spPr>
                </pic:pic>
              </a:graphicData>
            </a:graphic>
          </wp:inline>
        </w:drawing>
      </w:r>
      <w:r>
        <w:rPr>
          <w:rFonts w:hint="eastAsia" w:ascii="仿宋_GB2312" w:eastAsia="仿宋_GB2312" w:cs="仿宋_GB2312"/>
          <w:spacing w:val="0"/>
          <w:sz w:val="31"/>
          <w:szCs w:val="31"/>
          <w:lang w:eastAsia="zh-CN"/>
        </w:rPr>
        <w:drawing>
          <wp:inline distT="0" distB="0" distL="114300" distR="114300">
            <wp:extent cx="1471930" cy="3288030"/>
            <wp:effectExtent l="0" t="0" r="13970" b="7620"/>
            <wp:docPr id="4" name="图片 4" descr="86dc788a12172d4077894a3b1065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86dc788a12172d4077894a3b1065797"/>
                    <pic:cNvPicPr>
                      <a:picLocks noChangeAspect="1"/>
                    </pic:cNvPicPr>
                  </pic:nvPicPr>
                  <pic:blipFill>
                    <a:blip r:embed="rId11"/>
                    <a:stretch>
                      <a:fillRect/>
                    </a:stretch>
                  </pic:blipFill>
                  <pic:spPr>
                    <a:xfrm>
                      <a:off x="0" y="0"/>
                      <a:ext cx="1471930" cy="3288030"/>
                    </a:xfrm>
                    <a:prstGeom prst="rect">
                      <a:avLst/>
                    </a:prstGeom>
                  </pic:spPr>
                </pic:pic>
              </a:graphicData>
            </a:graphic>
          </wp:inline>
        </w:drawing>
      </w:r>
    </w:p>
    <w:p w14:paraId="03FC84A0">
      <w:pPr>
        <w:pStyle w:val="5"/>
        <w:keepNext w:val="0"/>
        <w:keepLines w:val="0"/>
        <w:widowControl/>
        <w:suppressLineNumbers w:val="0"/>
        <w:spacing w:before="274" w:beforeAutospacing="0" w:after="274" w:afterAutospacing="0" w:line="374" w:lineRule="atLeast"/>
        <w:ind w:left="0" w:firstLine="953" w:firstLineChars="298"/>
        <w:jc w:val="both"/>
        <w:rPr>
          <w:rFonts w:hint="default" w:ascii="方正楷体_GB2312" w:hAnsi="方正楷体_GB2312" w:eastAsia="方正楷体_GB2312" w:cs="方正楷体_GB2312"/>
          <w:sz w:val="32"/>
          <w:szCs w:val="32"/>
          <w:lang w:val="en-US" w:eastAsia="zh-CN"/>
        </w:rPr>
      </w:pPr>
      <w:r>
        <w:rPr>
          <w:rFonts w:hint="eastAsia" w:ascii="方正楷体_GB2312" w:hAnsi="方正楷体_GB2312" w:eastAsia="方正楷体_GB2312" w:cs="方正楷体_GB2312"/>
          <w:sz w:val="32"/>
          <w:szCs w:val="32"/>
          <w:lang w:val="en-US" w:eastAsia="zh-CN"/>
        </w:rPr>
        <w:t>微信公众号      微信视频号   泉馨居智慧驿站</w:t>
      </w:r>
    </w:p>
    <w:p w14:paraId="0283E37C">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firstLine="418"/>
        <w:jc w:val="both"/>
        <w:textAlignment w:val="auto"/>
      </w:pPr>
      <w:r>
        <w:rPr>
          <w:rFonts w:hint="default" w:ascii="方正楷体_GB2312" w:hAnsi="方正楷体_GB2312" w:eastAsia="方正楷体_GB2312" w:cs="方正楷体_GB2312"/>
          <w:sz w:val="32"/>
          <w:szCs w:val="32"/>
        </w:rPr>
        <w:t>（五）监督保障情况  </w:t>
      </w:r>
      <w:r>
        <w:rPr>
          <w:rFonts w:hint="eastAsia" w:ascii="仿宋_GB2312" w:eastAsia="仿宋_GB2312" w:cs="仿宋_GB2312"/>
          <w:sz w:val="32"/>
          <w:szCs w:val="32"/>
        </w:rPr>
        <w:t>   </w:t>
      </w:r>
    </w:p>
    <w:p w14:paraId="6A9010F5">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firstLine="645"/>
        <w:textAlignment w:val="auto"/>
        <w:rPr>
          <w:rFonts w:hint="eastAsia" w:ascii="仿宋_GB2312" w:eastAsia="仿宋_GB2312" w:cs="仿宋_GB2312"/>
          <w:spacing w:val="0"/>
          <w:sz w:val="31"/>
          <w:szCs w:val="31"/>
          <w:shd w:val="clear" w:fill="FFFFFF"/>
        </w:rPr>
      </w:pPr>
      <w:r>
        <w:rPr>
          <w:rFonts w:hint="default" w:ascii="仿宋_GB2312" w:eastAsia="仿宋_GB2312" w:cs="仿宋_GB2312"/>
          <w:spacing w:val="0"/>
          <w:sz w:val="31"/>
          <w:szCs w:val="31"/>
          <w:shd w:val="clear" w:fill="FFFFFF"/>
        </w:rPr>
        <w:t>为加强对政府信息公开工作的领导，明确政务公开信息发布员，切实履行本</w:t>
      </w:r>
      <w:r>
        <w:rPr>
          <w:rFonts w:hint="eastAsia" w:ascii="仿宋_GB2312" w:eastAsia="仿宋_GB2312" w:cs="仿宋_GB2312"/>
          <w:spacing w:val="0"/>
          <w:sz w:val="31"/>
          <w:szCs w:val="31"/>
          <w:shd w:val="clear" w:fill="FFFFFF"/>
          <w:lang w:val="en-US" w:eastAsia="zh-CN"/>
        </w:rPr>
        <w:t>街道</w:t>
      </w:r>
      <w:r>
        <w:rPr>
          <w:rFonts w:hint="default" w:ascii="仿宋_GB2312" w:eastAsia="仿宋_GB2312" w:cs="仿宋_GB2312"/>
          <w:spacing w:val="0"/>
          <w:sz w:val="31"/>
          <w:szCs w:val="31"/>
          <w:shd w:val="clear" w:fill="FFFFFF"/>
        </w:rPr>
        <w:t>信息公开的指导协调和督促检查职责。严格落实信息发布主体责任和“三审三校”“先审后发”机制，信息公开不能涉及群众隐私，做到量质并重，对公开信息逐级负责、层层把关，及时对滕州市人民政府官网</w:t>
      </w:r>
      <w:r>
        <w:rPr>
          <w:rFonts w:hint="eastAsia" w:ascii="仿宋_GB2312" w:eastAsia="仿宋_GB2312" w:cs="仿宋_GB2312"/>
          <w:spacing w:val="0"/>
          <w:sz w:val="31"/>
          <w:szCs w:val="31"/>
          <w:shd w:val="clear" w:fill="FFFFFF"/>
          <w:lang w:val="en-US" w:eastAsia="zh-CN"/>
        </w:rPr>
        <w:t>龙泉街道</w:t>
      </w:r>
      <w:r>
        <w:rPr>
          <w:rFonts w:hint="default" w:ascii="仿宋_GB2312" w:eastAsia="仿宋_GB2312" w:cs="仿宋_GB2312"/>
          <w:spacing w:val="0"/>
          <w:sz w:val="31"/>
          <w:szCs w:val="31"/>
          <w:shd w:val="clear" w:fill="FFFFFF"/>
        </w:rPr>
        <w:t>栏目和政务新媒体出现的错敏词跟进排查整改。加大政府信息公开的业务培训，确保政府信息公开的专业性和及时性。</w:t>
      </w:r>
    </w:p>
    <w:p w14:paraId="0BF86853">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firstLine="645"/>
        <w:textAlignment w:val="auto"/>
        <w:rPr>
          <w:rFonts w:hint="default" w:ascii="仿宋_GB2312" w:eastAsia="仿宋_GB2312" w:cs="仿宋_GB2312"/>
          <w:spacing w:val="0"/>
          <w:sz w:val="31"/>
          <w:szCs w:val="31"/>
          <w:shd w:val="clear" w:fill="FFFFFF"/>
        </w:rPr>
      </w:pPr>
      <w:r>
        <w:rPr>
          <w:rFonts w:hint="default" w:ascii="仿宋_GB2312" w:eastAsia="仿宋_GB2312" w:cs="仿宋_GB2312"/>
          <w:spacing w:val="0"/>
          <w:sz w:val="31"/>
          <w:szCs w:val="31"/>
          <w:shd w:val="clear" w:fill="FFFFFF"/>
        </w:rPr>
        <w:t>2024年度未纳入滕州市镇街政务公开评估，未进行社会评议，未发生责任追究情况。</w:t>
      </w:r>
    </w:p>
    <w:p w14:paraId="584B8AE9">
      <w:pPr>
        <w:pStyle w:val="5"/>
        <w:keepNext w:val="0"/>
        <w:keepLines w:val="0"/>
        <w:widowControl/>
        <w:suppressLineNumbers w:val="0"/>
        <w:spacing w:before="274" w:beforeAutospacing="0" w:after="274" w:afterAutospacing="0" w:line="374" w:lineRule="atLeast"/>
        <w:ind w:left="0" w:firstLine="418"/>
        <w:jc w:val="both"/>
      </w:pPr>
      <w:r>
        <w:rPr>
          <w:rFonts w:hint="eastAsia" w:ascii="黑体" w:hAnsi="宋体" w:eastAsia="黑体" w:cs="黑体"/>
          <w:b w:val="0"/>
          <w:bCs w:val="0"/>
          <w:i w:val="0"/>
          <w:iCs w:val="0"/>
          <w:color w:val="000000"/>
          <w:spacing w:val="0"/>
          <w:sz w:val="32"/>
          <w:szCs w:val="32"/>
        </w:rPr>
        <w:t>二、主动公开政府信息情况</w:t>
      </w:r>
    </w:p>
    <w:tbl>
      <w:tblPr>
        <w:tblStyle w:val="6"/>
        <w:tblW w:w="8520" w:type="dxa"/>
        <w:tblInd w:w="0" w:type="dxa"/>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Layout w:type="autofit"/>
        <w:tblCellMar>
          <w:top w:w="75" w:type="dxa"/>
          <w:left w:w="150" w:type="dxa"/>
          <w:bottom w:w="75" w:type="dxa"/>
          <w:right w:w="150" w:type="dxa"/>
        </w:tblCellMar>
      </w:tblPr>
      <w:tblGrid>
        <w:gridCol w:w="1960"/>
        <w:gridCol w:w="1976"/>
        <w:gridCol w:w="1976"/>
        <w:gridCol w:w="2608"/>
      </w:tblGrid>
      <w:tr w14:paraId="1E057D74">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75" w:type="dxa"/>
            <w:left w:w="150" w:type="dxa"/>
            <w:bottom w:w="75" w:type="dxa"/>
            <w:right w:w="150" w:type="dxa"/>
          </w:tblCellMar>
        </w:tblPrEx>
        <w:trPr>
          <w:trHeight w:val="345" w:hRule="atLeast"/>
        </w:trPr>
        <w:tc>
          <w:tcPr>
            <w:tcW w:w="8280" w:type="dxa"/>
            <w:gridSpan w:val="4"/>
            <w:tcBorders>
              <w:top w:val="single" w:color="000000" w:sz="6" w:space="0"/>
              <w:left w:val="single" w:color="000000" w:sz="6" w:space="0"/>
              <w:bottom w:val="single" w:color="000000" w:sz="6" w:space="0"/>
              <w:right w:val="single" w:color="000000" w:sz="6" w:space="0"/>
            </w:tcBorders>
            <w:shd w:val="clear" w:color="auto" w:fill="C6D9F1"/>
            <w:tcMar>
              <w:top w:w="0" w:type="dxa"/>
              <w:left w:w="101" w:type="dxa"/>
              <w:bottom w:w="0" w:type="dxa"/>
              <w:right w:w="101" w:type="dxa"/>
            </w:tcMar>
            <w:vAlign w:val="center"/>
          </w:tcPr>
          <w:p w14:paraId="5582291E">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黑体" w:hAnsi="宋体" w:eastAsia="黑体" w:cs="黑体"/>
                <w:i w:val="0"/>
                <w:iCs w:val="0"/>
                <w:color w:val="000000"/>
                <w:spacing w:val="0"/>
                <w:sz w:val="20"/>
                <w:szCs w:val="20"/>
              </w:rPr>
              <w:t>第二十条第（一）项</w:t>
            </w:r>
          </w:p>
        </w:tc>
      </w:tr>
      <w:tr w14:paraId="44337F61">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trHeight w:val="360" w:hRule="atLeast"/>
        </w:trPr>
        <w:tc>
          <w:tcPr>
            <w:tcW w:w="1905" w:type="dxa"/>
            <w:tcBorders>
              <w:top w:val="nil"/>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30BA50B1">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信息内容</w:t>
            </w:r>
          </w:p>
        </w:tc>
        <w:tc>
          <w:tcPr>
            <w:tcW w:w="1920" w:type="dxa"/>
            <w:tcBorders>
              <w:top w:val="nil"/>
              <w:left w:val="nil"/>
              <w:bottom w:val="single" w:color="000000" w:sz="6" w:space="0"/>
              <w:right w:val="single" w:color="000000" w:sz="6" w:space="0"/>
            </w:tcBorders>
            <w:shd w:val="clear" w:color="auto" w:fill="auto"/>
            <w:tcMar>
              <w:top w:w="0" w:type="dxa"/>
              <w:left w:w="0" w:type="dxa"/>
              <w:bottom w:w="0" w:type="dxa"/>
              <w:right w:w="101" w:type="dxa"/>
            </w:tcMar>
            <w:vAlign w:val="center"/>
          </w:tcPr>
          <w:p w14:paraId="62A3B934">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本年制发件数</w:t>
            </w:r>
          </w:p>
        </w:tc>
        <w:tc>
          <w:tcPr>
            <w:tcW w:w="1920" w:type="dxa"/>
            <w:tcBorders>
              <w:top w:val="nil"/>
              <w:left w:val="nil"/>
              <w:bottom w:val="single" w:color="000000" w:sz="6" w:space="0"/>
              <w:right w:val="single" w:color="000000" w:sz="6" w:space="0"/>
            </w:tcBorders>
            <w:shd w:val="clear" w:color="auto" w:fill="auto"/>
            <w:tcMar>
              <w:top w:w="0" w:type="dxa"/>
              <w:left w:w="0" w:type="dxa"/>
              <w:bottom w:w="0" w:type="dxa"/>
              <w:right w:w="101" w:type="dxa"/>
            </w:tcMar>
            <w:vAlign w:val="center"/>
          </w:tcPr>
          <w:p w14:paraId="32CD20D4">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本年废止件数</w:t>
            </w:r>
          </w:p>
        </w:tc>
        <w:tc>
          <w:tcPr>
            <w:tcW w:w="1905" w:type="dxa"/>
            <w:tcBorders>
              <w:top w:val="nil"/>
              <w:left w:val="nil"/>
              <w:bottom w:val="single" w:color="000000" w:sz="6" w:space="0"/>
              <w:right w:val="single" w:color="000000" w:sz="6" w:space="0"/>
            </w:tcBorders>
            <w:shd w:val="clear" w:color="auto" w:fill="auto"/>
            <w:tcMar>
              <w:top w:w="0" w:type="dxa"/>
              <w:left w:w="0" w:type="dxa"/>
              <w:bottom w:w="0" w:type="dxa"/>
              <w:right w:w="101" w:type="dxa"/>
            </w:tcMar>
            <w:vAlign w:val="center"/>
          </w:tcPr>
          <w:p w14:paraId="0CB2BEB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现行有效件数</w:t>
            </w:r>
          </w:p>
        </w:tc>
      </w:tr>
      <w:tr w14:paraId="41F4CC9D">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trHeight w:val="360" w:hRule="atLeast"/>
        </w:trPr>
        <w:tc>
          <w:tcPr>
            <w:tcW w:w="1905" w:type="dxa"/>
            <w:tcBorders>
              <w:top w:val="nil"/>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0EC0E851">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left"/>
            </w:pPr>
            <w:r>
              <w:rPr>
                <w:rFonts w:hint="eastAsia" w:ascii="仿宋_GB2312" w:eastAsia="仿宋_GB2312" w:cs="仿宋_GB2312"/>
                <w:i w:val="0"/>
                <w:iCs w:val="0"/>
                <w:color w:val="000000"/>
                <w:spacing w:val="0"/>
                <w:sz w:val="20"/>
                <w:szCs w:val="20"/>
              </w:rPr>
              <w:t>规章</w:t>
            </w:r>
          </w:p>
        </w:tc>
        <w:tc>
          <w:tcPr>
            <w:tcW w:w="1920" w:type="dxa"/>
            <w:tcBorders>
              <w:top w:val="nil"/>
              <w:left w:val="nil"/>
              <w:bottom w:val="single" w:color="000000" w:sz="6" w:space="0"/>
              <w:right w:val="single" w:color="000000" w:sz="6" w:space="0"/>
            </w:tcBorders>
            <w:shd w:val="clear" w:color="auto" w:fill="auto"/>
            <w:tcMar>
              <w:top w:w="0" w:type="dxa"/>
              <w:left w:w="0" w:type="dxa"/>
              <w:bottom w:w="0" w:type="dxa"/>
              <w:right w:w="101" w:type="dxa"/>
            </w:tcMar>
            <w:vAlign w:val="center"/>
          </w:tcPr>
          <w:p w14:paraId="1BE856C4">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1920" w:type="dxa"/>
            <w:tcBorders>
              <w:top w:val="nil"/>
              <w:left w:val="nil"/>
              <w:bottom w:val="single" w:color="000000" w:sz="6" w:space="0"/>
              <w:right w:val="single" w:color="000000" w:sz="6" w:space="0"/>
            </w:tcBorders>
            <w:shd w:val="clear" w:color="auto" w:fill="auto"/>
            <w:tcMar>
              <w:top w:w="0" w:type="dxa"/>
              <w:left w:w="0" w:type="dxa"/>
              <w:bottom w:w="0" w:type="dxa"/>
              <w:right w:w="101" w:type="dxa"/>
            </w:tcMar>
            <w:vAlign w:val="center"/>
          </w:tcPr>
          <w:p w14:paraId="1FB4934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1905" w:type="dxa"/>
            <w:tcBorders>
              <w:top w:val="nil"/>
              <w:left w:val="nil"/>
              <w:bottom w:val="single" w:color="000000" w:sz="6" w:space="0"/>
              <w:right w:val="single" w:color="000000" w:sz="6" w:space="0"/>
            </w:tcBorders>
            <w:shd w:val="clear" w:color="auto" w:fill="auto"/>
            <w:tcMar>
              <w:top w:w="0" w:type="dxa"/>
              <w:left w:w="0" w:type="dxa"/>
              <w:bottom w:w="0" w:type="dxa"/>
              <w:right w:w="101" w:type="dxa"/>
            </w:tcMar>
            <w:vAlign w:val="center"/>
          </w:tcPr>
          <w:p w14:paraId="16FDC20D">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r>
      <w:tr w14:paraId="3A6DBD09">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trHeight w:val="360" w:hRule="atLeast"/>
        </w:trPr>
        <w:tc>
          <w:tcPr>
            <w:tcW w:w="1905" w:type="dxa"/>
            <w:tcBorders>
              <w:top w:val="nil"/>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5EB7FBA2">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left"/>
            </w:pPr>
            <w:r>
              <w:rPr>
                <w:rFonts w:hint="eastAsia" w:ascii="仿宋_GB2312" w:eastAsia="仿宋_GB2312" w:cs="仿宋_GB2312"/>
                <w:i w:val="0"/>
                <w:iCs w:val="0"/>
                <w:color w:val="000000"/>
                <w:spacing w:val="0"/>
                <w:sz w:val="20"/>
                <w:szCs w:val="20"/>
              </w:rPr>
              <w:t>行政规范性文件</w:t>
            </w:r>
          </w:p>
        </w:tc>
        <w:tc>
          <w:tcPr>
            <w:tcW w:w="1920" w:type="dxa"/>
            <w:tcBorders>
              <w:top w:val="nil"/>
              <w:left w:val="nil"/>
              <w:bottom w:val="single" w:color="000000" w:sz="6" w:space="0"/>
              <w:right w:val="single" w:color="000000" w:sz="6" w:space="0"/>
            </w:tcBorders>
            <w:shd w:val="clear" w:color="auto" w:fill="auto"/>
            <w:tcMar>
              <w:top w:w="0" w:type="dxa"/>
              <w:left w:w="0" w:type="dxa"/>
              <w:bottom w:w="0" w:type="dxa"/>
              <w:right w:w="101" w:type="dxa"/>
            </w:tcMar>
            <w:vAlign w:val="center"/>
          </w:tcPr>
          <w:p w14:paraId="58F01519">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1920" w:type="dxa"/>
            <w:tcBorders>
              <w:top w:val="nil"/>
              <w:left w:val="nil"/>
              <w:bottom w:val="single" w:color="000000" w:sz="6" w:space="0"/>
              <w:right w:val="single" w:color="000000" w:sz="6" w:space="0"/>
            </w:tcBorders>
            <w:shd w:val="clear" w:color="auto" w:fill="auto"/>
            <w:tcMar>
              <w:top w:w="0" w:type="dxa"/>
              <w:left w:w="0" w:type="dxa"/>
              <w:bottom w:w="0" w:type="dxa"/>
              <w:right w:w="101" w:type="dxa"/>
            </w:tcMar>
            <w:vAlign w:val="center"/>
          </w:tcPr>
          <w:p w14:paraId="1F64BA2C">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1905" w:type="dxa"/>
            <w:tcBorders>
              <w:top w:val="nil"/>
              <w:left w:val="nil"/>
              <w:bottom w:val="single" w:color="000000" w:sz="6" w:space="0"/>
              <w:right w:val="single" w:color="000000" w:sz="6" w:space="0"/>
            </w:tcBorders>
            <w:shd w:val="clear" w:color="auto" w:fill="auto"/>
            <w:tcMar>
              <w:top w:w="0" w:type="dxa"/>
              <w:left w:w="0" w:type="dxa"/>
              <w:bottom w:w="0" w:type="dxa"/>
              <w:right w:w="101" w:type="dxa"/>
            </w:tcMar>
            <w:vAlign w:val="center"/>
          </w:tcPr>
          <w:p w14:paraId="43491C2A">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r>
      <w:tr w14:paraId="4A409271">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trHeight w:val="360" w:hRule="atLeast"/>
        </w:trPr>
        <w:tc>
          <w:tcPr>
            <w:tcW w:w="8280" w:type="dxa"/>
            <w:gridSpan w:val="4"/>
            <w:tcBorders>
              <w:top w:val="nil"/>
              <w:left w:val="single" w:color="000000" w:sz="6" w:space="0"/>
              <w:bottom w:val="single" w:color="000000" w:sz="6" w:space="0"/>
              <w:right w:val="single" w:color="000000" w:sz="6" w:space="0"/>
            </w:tcBorders>
            <w:shd w:val="clear" w:color="auto" w:fill="C6D9F1"/>
            <w:tcMar>
              <w:top w:w="0" w:type="dxa"/>
              <w:left w:w="101" w:type="dxa"/>
              <w:bottom w:w="0" w:type="dxa"/>
              <w:right w:w="101" w:type="dxa"/>
            </w:tcMar>
            <w:vAlign w:val="center"/>
          </w:tcPr>
          <w:p w14:paraId="257D51E5">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黑体" w:hAnsi="宋体" w:eastAsia="黑体" w:cs="黑体"/>
                <w:i w:val="0"/>
                <w:iCs w:val="0"/>
                <w:color w:val="000000"/>
                <w:spacing w:val="0"/>
                <w:sz w:val="20"/>
                <w:szCs w:val="20"/>
              </w:rPr>
              <w:t>第二十条第（五）项</w:t>
            </w:r>
          </w:p>
        </w:tc>
      </w:tr>
      <w:tr w14:paraId="6E41FE15">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trHeight w:val="360" w:hRule="atLeast"/>
        </w:trPr>
        <w:tc>
          <w:tcPr>
            <w:tcW w:w="1905" w:type="dxa"/>
            <w:tcBorders>
              <w:top w:val="nil"/>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0CC2D39F">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信息内容</w:t>
            </w:r>
          </w:p>
        </w:tc>
        <w:tc>
          <w:tcPr>
            <w:tcW w:w="6165" w:type="dxa"/>
            <w:gridSpan w:val="3"/>
            <w:tcBorders>
              <w:top w:val="single" w:color="000000" w:sz="6" w:space="0"/>
              <w:left w:val="nil"/>
              <w:bottom w:val="single" w:color="000000" w:sz="6" w:space="0"/>
              <w:right w:val="single" w:color="000000" w:sz="6" w:space="0"/>
            </w:tcBorders>
            <w:shd w:val="clear" w:color="auto" w:fill="auto"/>
            <w:tcMar>
              <w:top w:w="0" w:type="dxa"/>
              <w:left w:w="0" w:type="dxa"/>
              <w:bottom w:w="0" w:type="dxa"/>
              <w:right w:w="101" w:type="dxa"/>
            </w:tcMar>
            <w:vAlign w:val="center"/>
          </w:tcPr>
          <w:p w14:paraId="636ABB9B">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本年处理决定数量</w:t>
            </w:r>
          </w:p>
        </w:tc>
      </w:tr>
      <w:tr w14:paraId="0B9B4537">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trHeight w:val="360" w:hRule="atLeast"/>
        </w:trPr>
        <w:tc>
          <w:tcPr>
            <w:tcW w:w="1905" w:type="dxa"/>
            <w:tcBorders>
              <w:top w:val="nil"/>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0C2CDFEA">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left"/>
            </w:pPr>
            <w:r>
              <w:rPr>
                <w:rFonts w:hint="eastAsia" w:ascii="仿宋_GB2312" w:eastAsia="仿宋_GB2312" w:cs="仿宋_GB2312"/>
                <w:i w:val="0"/>
                <w:iCs w:val="0"/>
                <w:color w:val="000000"/>
                <w:spacing w:val="0"/>
                <w:sz w:val="20"/>
                <w:szCs w:val="20"/>
              </w:rPr>
              <w:t>行政许可</w:t>
            </w:r>
          </w:p>
        </w:tc>
        <w:tc>
          <w:tcPr>
            <w:tcW w:w="6165" w:type="dxa"/>
            <w:gridSpan w:val="3"/>
            <w:tcBorders>
              <w:top w:val="nil"/>
              <w:left w:val="nil"/>
              <w:bottom w:val="single" w:color="000000" w:sz="6" w:space="0"/>
              <w:right w:val="single" w:color="000000" w:sz="6" w:space="0"/>
            </w:tcBorders>
            <w:shd w:val="clear" w:color="auto" w:fill="auto"/>
            <w:tcMar>
              <w:top w:w="0" w:type="dxa"/>
              <w:left w:w="0" w:type="dxa"/>
              <w:bottom w:w="0" w:type="dxa"/>
              <w:right w:w="101" w:type="dxa"/>
            </w:tcMar>
            <w:vAlign w:val="center"/>
          </w:tcPr>
          <w:p w14:paraId="110BFA81">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r>
      <w:tr w14:paraId="7577B83E">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trHeight w:val="360" w:hRule="atLeast"/>
        </w:trPr>
        <w:tc>
          <w:tcPr>
            <w:tcW w:w="8280" w:type="dxa"/>
            <w:gridSpan w:val="4"/>
            <w:tcBorders>
              <w:top w:val="nil"/>
              <w:left w:val="single" w:color="000000" w:sz="6" w:space="0"/>
              <w:bottom w:val="single" w:color="000000" w:sz="6" w:space="0"/>
              <w:right w:val="single" w:color="000000" w:sz="6" w:space="0"/>
            </w:tcBorders>
            <w:shd w:val="clear" w:color="auto" w:fill="C6D9F1"/>
            <w:tcMar>
              <w:top w:w="0" w:type="dxa"/>
              <w:left w:w="101" w:type="dxa"/>
              <w:bottom w:w="0" w:type="dxa"/>
              <w:right w:w="101" w:type="dxa"/>
            </w:tcMar>
            <w:vAlign w:val="center"/>
          </w:tcPr>
          <w:p w14:paraId="3EC286B5">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黑体" w:hAnsi="宋体" w:eastAsia="黑体" w:cs="黑体"/>
                <w:i w:val="0"/>
                <w:iCs w:val="0"/>
                <w:color w:val="000000"/>
                <w:spacing w:val="0"/>
                <w:sz w:val="20"/>
                <w:szCs w:val="20"/>
              </w:rPr>
              <w:t>第二十条第（六）项</w:t>
            </w:r>
          </w:p>
        </w:tc>
      </w:tr>
      <w:tr w14:paraId="25518A88">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trHeight w:val="360" w:hRule="atLeast"/>
        </w:trPr>
        <w:tc>
          <w:tcPr>
            <w:tcW w:w="1905" w:type="dxa"/>
            <w:tcBorders>
              <w:top w:val="nil"/>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45D6F248">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信息内容</w:t>
            </w:r>
          </w:p>
        </w:tc>
        <w:tc>
          <w:tcPr>
            <w:tcW w:w="6165" w:type="dxa"/>
            <w:gridSpan w:val="3"/>
            <w:tcBorders>
              <w:top w:val="single" w:color="000000" w:sz="6" w:space="0"/>
              <w:left w:val="nil"/>
              <w:bottom w:val="single" w:color="000000" w:sz="6" w:space="0"/>
              <w:right w:val="single" w:color="000000" w:sz="6" w:space="0"/>
            </w:tcBorders>
            <w:shd w:val="clear" w:color="auto" w:fill="auto"/>
            <w:tcMar>
              <w:top w:w="0" w:type="dxa"/>
              <w:left w:w="0" w:type="dxa"/>
              <w:bottom w:w="0" w:type="dxa"/>
              <w:right w:w="101" w:type="dxa"/>
            </w:tcMar>
            <w:vAlign w:val="center"/>
          </w:tcPr>
          <w:p w14:paraId="43F21AF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本年处理决定数量</w:t>
            </w:r>
          </w:p>
        </w:tc>
      </w:tr>
      <w:tr w14:paraId="63BA7FE2">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trHeight w:val="271" w:hRule="atLeast"/>
        </w:trPr>
        <w:tc>
          <w:tcPr>
            <w:tcW w:w="1905" w:type="dxa"/>
            <w:tcBorders>
              <w:top w:val="nil"/>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4BD898AC">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left"/>
            </w:pPr>
            <w:r>
              <w:rPr>
                <w:rFonts w:hint="eastAsia" w:ascii="仿宋_GB2312" w:eastAsia="仿宋_GB2312" w:cs="仿宋_GB2312"/>
                <w:i w:val="0"/>
                <w:iCs w:val="0"/>
                <w:color w:val="000000"/>
                <w:spacing w:val="0"/>
                <w:sz w:val="20"/>
                <w:szCs w:val="20"/>
              </w:rPr>
              <w:t>行政处罚</w:t>
            </w:r>
          </w:p>
        </w:tc>
        <w:tc>
          <w:tcPr>
            <w:tcW w:w="6165" w:type="dxa"/>
            <w:gridSpan w:val="3"/>
            <w:tcBorders>
              <w:top w:val="nil"/>
              <w:left w:val="nil"/>
              <w:bottom w:val="single" w:color="000000" w:sz="6" w:space="0"/>
              <w:right w:val="single" w:color="000000" w:sz="6" w:space="0"/>
            </w:tcBorders>
            <w:shd w:val="clear" w:color="auto" w:fill="auto"/>
            <w:tcMar>
              <w:top w:w="0" w:type="dxa"/>
              <w:left w:w="0" w:type="dxa"/>
              <w:bottom w:w="0" w:type="dxa"/>
              <w:right w:w="101" w:type="dxa"/>
            </w:tcMar>
            <w:vAlign w:val="center"/>
          </w:tcPr>
          <w:p w14:paraId="5BDC42D8">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r>
      <w:tr w14:paraId="547BB247">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trHeight w:val="360" w:hRule="atLeast"/>
        </w:trPr>
        <w:tc>
          <w:tcPr>
            <w:tcW w:w="1905" w:type="dxa"/>
            <w:tcBorders>
              <w:top w:val="nil"/>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26C2C768">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left"/>
            </w:pPr>
            <w:r>
              <w:rPr>
                <w:rFonts w:hint="eastAsia" w:ascii="仿宋_GB2312" w:eastAsia="仿宋_GB2312" w:cs="仿宋_GB2312"/>
                <w:i w:val="0"/>
                <w:iCs w:val="0"/>
                <w:color w:val="000000"/>
                <w:spacing w:val="0"/>
                <w:sz w:val="20"/>
                <w:szCs w:val="20"/>
              </w:rPr>
              <w:t>行政强制</w:t>
            </w:r>
          </w:p>
        </w:tc>
        <w:tc>
          <w:tcPr>
            <w:tcW w:w="6165" w:type="dxa"/>
            <w:gridSpan w:val="3"/>
            <w:tcBorders>
              <w:top w:val="nil"/>
              <w:left w:val="nil"/>
              <w:bottom w:val="single" w:color="000000" w:sz="6" w:space="0"/>
              <w:right w:val="single" w:color="000000" w:sz="6" w:space="0"/>
            </w:tcBorders>
            <w:shd w:val="clear" w:color="auto" w:fill="auto"/>
            <w:tcMar>
              <w:top w:w="0" w:type="dxa"/>
              <w:left w:w="0" w:type="dxa"/>
              <w:bottom w:w="0" w:type="dxa"/>
              <w:right w:w="101" w:type="dxa"/>
            </w:tcMar>
            <w:vAlign w:val="center"/>
          </w:tcPr>
          <w:p w14:paraId="6C174861">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r>
      <w:tr w14:paraId="20541DE8">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trHeight w:val="360" w:hRule="atLeast"/>
        </w:trPr>
        <w:tc>
          <w:tcPr>
            <w:tcW w:w="8280" w:type="dxa"/>
            <w:gridSpan w:val="4"/>
            <w:tcBorders>
              <w:top w:val="nil"/>
              <w:left w:val="single" w:color="000000" w:sz="6" w:space="0"/>
              <w:bottom w:val="single" w:color="000000" w:sz="6" w:space="0"/>
              <w:right w:val="single" w:color="000000" w:sz="6" w:space="0"/>
            </w:tcBorders>
            <w:shd w:val="clear" w:color="auto" w:fill="C6D9F1"/>
            <w:tcMar>
              <w:top w:w="0" w:type="dxa"/>
              <w:left w:w="101" w:type="dxa"/>
              <w:bottom w:w="0" w:type="dxa"/>
              <w:right w:w="101" w:type="dxa"/>
            </w:tcMar>
            <w:vAlign w:val="center"/>
          </w:tcPr>
          <w:p w14:paraId="5F32A4A1">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黑体" w:hAnsi="宋体" w:eastAsia="黑体" w:cs="黑体"/>
                <w:i w:val="0"/>
                <w:iCs w:val="0"/>
                <w:color w:val="000000"/>
                <w:spacing w:val="0"/>
                <w:sz w:val="20"/>
                <w:szCs w:val="20"/>
              </w:rPr>
              <w:t>第二十条第（八）项</w:t>
            </w:r>
          </w:p>
        </w:tc>
      </w:tr>
      <w:tr w14:paraId="7796F6EC">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trHeight w:val="360" w:hRule="atLeast"/>
        </w:trPr>
        <w:tc>
          <w:tcPr>
            <w:tcW w:w="1905" w:type="dxa"/>
            <w:tcBorders>
              <w:top w:val="nil"/>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270E066E">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信息内容</w:t>
            </w:r>
          </w:p>
        </w:tc>
        <w:tc>
          <w:tcPr>
            <w:tcW w:w="6165" w:type="dxa"/>
            <w:gridSpan w:val="3"/>
            <w:tcBorders>
              <w:top w:val="single" w:color="000000" w:sz="6" w:space="0"/>
              <w:left w:val="nil"/>
              <w:bottom w:val="single" w:color="000000" w:sz="6" w:space="0"/>
              <w:right w:val="single" w:color="000000" w:sz="6" w:space="0"/>
            </w:tcBorders>
            <w:shd w:val="clear" w:color="auto" w:fill="auto"/>
            <w:tcMar>
              <w:top w:w="0" w:type="dxa"/>
              <w:left w:w="0" w:type="dxa"/>
              <w:bottom w:w="0" w:type="dxa"/>
              <w:right w:w="101" w:type="dxa"/>
            </w:tcMar>
            <w:vAlign w:val="center"/>
          </w:tcPr>
          <w:p w14:paraId="5EBC49D6">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本年收费金额（单位：万元）</w:t>
            </w:r>
          </w:p>
        </w:tc>
      </w:tr>
      <w:tr w14:paraId="6C59886C">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trHeight w:val="345" w:hRule="atLeast"/>
        </w:trPr>
        <w:tc>
          <w:tcPr>
            <w:tcW w:w="1905" w:type="dxa"/>
            <w:tcBorders>
              <w:top w:val="nil"/>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53580CB4">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left"/>
            </w:pPr>
            <w:r>
              <w:rPr>
                <w:rFonts w:hint="eastAsia" w:ascii="仿宋_GB2312" w:eastAsia="仿宋_GB2312" w:cs="仿宋_GB2312"/>
                <w:i w:val="0"/>
                <w:iCs w:val="0"/>
                <w:color w:val="000000"/>
                <w:spacing w:val="0"/>
                <w:sz w:val="20"/>
                <w:szCs w:val="20"/>
              </w:rPr>
              <w:t>行政事业性收费</w:t>
            </w:r>
          </w:p>
        </w:tc>
        <w:tc>
          <w:tcPr>
            <w:tcW w:w="6165" w:type="dxa"/>
            <w:gridSpan w:val="3"/>
            <w:tcBorders>
              <w:top w:val="nil"/>
              <w:left w:val="nil"/>
              <w:bottom w:val="single" w:color="000000" w:sz="6" w:space="0"/>
              <w:right w:val="single" w:color="000000" w:sz="6" w:space="0"/>
            </w:tcBorders>
            <w:shd w:val="clear" w:color="auto" w:fill="auto"/>
            <w:tcMar>
              <w:top w:w="0" w:type="dxa"/>
              <w:left w:w="0" w:type="dxa"/>
              <w:bottom w:w="0" w:type="dxa"/>
              <w:right w:w="101" w:type="dxa"/>
            </w:tcMar>
            <w:vAlign w:val="center"/>
          </w:tcPr>
          <w:p w14:paraId="2BA5B734">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r>
    </w:tbl>
    <w:p w14:paraId="1815CC42">
      <w:pPr>
        <w:pStyle w:val="5"/>
        <w:keepNext w:val="0"/>
        <w:keepLines w:val="0"/>
        <w:widowControl/>
        <w:suppressLineNumbers w:val="0"/>
        <w:spacing w:before="274" w:beforeAutospacing="0" w:after="274" w:afterAutospacing="0" w:line="374" w:lineRule="atLeast"/>
        <w:ind w:left="0" w:firstLine="418"/>
        <w:jc w:val="both"/>
        <w:rPr>
          <w:rFonts w:hint="default" w:eastAsia="黑体"/>
          <w:color w:val="C00000"/>
          <w:highlight w:val="yellow"/>
          <w:lang w:val="en-US" w:eastAsia="zh-CN"/>
        </w:rPr>
      </w:pPr>
      <w:r>
        <w:rPr>
          <w:rFonts w:hint="eastAsia" w:ascii="黑体" w:hAnsi="宋体" w:eastAsia="黑体" w:cs="黑体"/>
          <w:b w:val="0"/>
          <w:bCs w:val="0"/>
          <w:i w:val="0"/>
          <w:iCs w:val="0"/>
          <w:color w:val="000000"/>
          <w:spacing w:val="0"/>
          <w:sz w:val="30"/>
          <w:szCs w:val="30"/>
        </w:rPr>
        <w:t>三、收到和处理政府信息公开申请情况</w:t>
      </w:r>
    </w:p>
    <w:tbl>
      <w:tblPr>
        <w:tblStyle w:val="6"/>
        <w:tblW w:w="8505" w:type="dxa"/>
        <w:jc w:val="center"/>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Layout w:type="autofit"/>
        <w:tblCellMar>
          <w:top w:w="75" w:type="dxa"/>
          <w:left w:w="150" w:type="dxa"/>
          <w:bottom w:w="75" w:type="dxa"/>
          <w:right w:w="150" w:type="dxa"/>
        </w:tblCellMar>
      </w:tblPr>
      <w:tblGrid>
        <w:gridCol w:w="602"/>
        <w:gridCol w:w="1172"/>
        <w:gridCol w:w="2263"/>
        <w:gridCol w:w="482"/>
        <w:gridCol w:w="302"/>
        <w:gridCol w:w="302"/>
        <w:gridCol w:w="391"/>
        <w:gridCol w:w="365"/>
        <w:gridCol w:w="1027"/>
        <w:gridCol w:w="1599"/>
      </w:tblGrid>
      <w:tr w14:paraId="6239552F">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75" w:type="dxa"/>
            <w:left w:w="150" w:type="dxa"/>
            <w:bottom w:w="75" w:type="dxa"/>
            <w:right w:w="150" w:type="dxa"/>
          </w:tblCellMar>
        </w:tblPrEx>
        <w:trPr>
          <w:jc w:val="center"/>
        </w:trPr>
        <w:tc>
          <w:tcPr>
            <w:tcW w:w="4155" w:type="dxa"/>
            <w:gridSpan w:val="3"/>
            <w:vMerge w:val="restart"/>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361E173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ascii="楷体_GB2312" w:eastAsia="楷体_GB2312" w:cs="楷体_GB2312"/>
                <w:i w:val="0"/>
                <w:iCs w:val="0"/>
                <w:color w:val="000000"/>
                <w:spacing w:val="0"/>
                <w:sz w:val="20"/>
                <w:szCs w:val="20"/>
              </w:rPr>
              <w:t>（本列数据的勾稽关系为：第一项加第二项之和，</w:t>
            </w:r>
          </w:p>
          <w:p w14:paraId="08974E81">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楷体_GB2312" w:eastAsia="楷体_GB2312" w:cs="楷体_GB2312"/>
                <w:i w:val="0"/>
                <w:iCs w:val="0"/>
                <w:color w:val="000000"/>
                <w:spacing w:val="0"/>
                <w:sz w:val="20"/>
                <w:szCs w:val="20"/>
              </w:rPr>
              <w:t>等于第三项加第四项之和）</w:t>
            </w:r>
          </w:p>
        </w:tc>
        <w:tc>
          <w:tcPr>
            <w:tcW w:w="3915" w:type="dxa"/>
            <w:gridSpan w:val="7"/>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5F7427BD">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黑体" w:hAnsi="宋体" w:eastAsia="黑体" w:cs="黑体"/>
                <w:i w:val="0"/>
                <w:iCs w:val="0"/>
                <w:color w:val="000000"/>
                <w:spacing w:val="0"/>
                <w:sz w:val="20"/>
                <w:szCs w:val="20"/>
              </w:rPr>
              <w:t>申请人情况</w:t>
            </w:r>
          </w:p>
        </w:tc>
      </w:tr>
      <w:tr w14:paraId="56E23EC4">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4155" w:type="dxa"/>
            <w:gridSpan w:val="3"/>
            <w:vMerge w:val="continue"/>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6FC4554A">
            <w:pPr>
              <w:rPr>
                <w:rFonts w:hint="eastAsia" w:ascii="宋体"/>
                <w:sz w:val="24"/>
                <w:szCs w:val="24"/>
              </w:rPr>
            </w:pPr>
          </w:p>
        </w:tc>
        <w:tc>
          <w:tcPr>
            <w:tcW w:w="495" w:type="dxa"/>
            <w:vMerge w:val="restart"/>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6CBA0A16">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黑体" w:hAnsi="宋体" w:eastAsia="黑体" w:cs="黑体"/>
                <w:i w:val="0"/>
                <w:iCs w:val="0"/>
                <w:color w:val="000000"/>
                <w:spacing w:val="0"/>
                <w:sz w:val="20"/>
                <w:szCs w:val="20"/>
              </w:rPr>
              <w:t>自然人</w:t>
            </w:r>
          </w:p>
        </w:tc>
        <w:tc>
          <w:tcPr>
            <w:tcW w:w="2490" w:type="dxa"/>
            <w:gridSpan w:val="5"/>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7755AB4A">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黑体" w:hAnsi="宋体" w:eastAsia="黑体" w:cs="黑体"/>
                <w:i w:val="0"/>
                <w:iCs w:val="0"/>
                <w:color w:val="000000"/>
                <w:spacing w:val="0"/>
                <w:sz w:val="20"/>
                <w:szCs w:val="20"/>
              </w:rPr>
              <w:t>法人或其他组织</w:t>
            </w:r>
          </w:p>
        </w:tc>
        <w:tc>
          <w:tcPr>
            <w:tcW w:w="510" w:type="dxa"/>
            <w:vMerge w:val="restart"/>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1257AE26">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黑体" w:hAnsi="宋体" w:eastAsia="黑体" w:cs="黑体"/>
                <w:i w:val="0"/>
                <w:iCs w:val="0"/>
                <w:color w:val="000000"/>
                <w:spacing w:val="0"/>
                <w:sz w:val="20"/>
                <w:szCs w:val="20"/>
              </w:rPr>
              <w:t>总计</w:t>
            </w:r>
          </w:p>
        </w:tc>
      </w:tr>
      <w:tr w14:paraId="47F023D7">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4155" w:type="dxa"/>
            <w:gridSpan w:val="3"/>
            <w:vMerge w:val="continue"/>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2579C8C7">
            <w:pPr>
              <w:rPr>
                <w:rFonts w:hint="eastAsia" w:ascii="宋体"/>
                <w:sz w:val="24"/>
                <w:szCs w:val="24"/>
              </w:rPr>
            </w:pPr>
          </w:p>
        </w:tc>
        <w:tc>
          <w:tcPr>
            <w:tcW w:w="495" w:type="dxa"/>
            <w:vMerge w:val="continue"/>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63D2C547">
            <w:pPr>
              <w:rPr>
                <w:rFonts w:hint="eastAsia" w:ascii="宋体"/>
                <w:sz w:val="24"/>
                <w:szCs w:val="24"/>
              </w:rPr>
            </w:pP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720819A9">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01" w:right="-101"/>
              <w:jc w:val="center"/>
            </w:pPr>
            <w:r>
              <w:rPr>
                <w:rFonts w:hint="eastAsia" w:ascii="黑体" w:hAnsi="宋体" w:eastAsia="黑体" w:cs="黑体"/>
                <w:i w:val="0"/>
                <w:iCs w:val="0"/>
                <w:color w:val="000000"/>
                <w:spacing w:val="0"/>
                <w:sz w:val="20"/>
                <w:szCs w:val="20"/>
              </w:rPr>
              <w:t>商业企业</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3AE216FA">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01" w:right="-101"/>
              <w:jc w:val="center"/>
            </w:pPr>
            <w:r>
              <w:rPr>
                <w:rFonts w:hint="eastAsia" w:ascii="黑体" w:hAnsi="宋体" w:eastAsia="黑体" w:cs="黑体"/>
                <w:i w:val="0"/>
                <w:iCs w:val="0"/>
                <w:color w:val="000000"/>
                <w:spacing w:val="0"/>
                <w:sz w:val="20"/>
                <w:szCs w:val="20"/>
              </w:rPr>
              <w:t>科研机构</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4F843CE0">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01" w:right="-101"/>
              <w:jc w:val="center"/>
            </w:pPr>
            <w:r>
              <w:rPr>
                <w:rFonts w:hint="eastAsia" w:ascii="黑体" w:hAnsi="宋体" w:eastAsia="黑体" w:cs="黑体"/>
                <w:i w:val="0"/>
                <w:iCs w:val="0"/>
                <w:color w:val="000000"/>
                <w:spacing w:val="0"/>
                <w:sz w:val="20"/>
                <w:szCs w:val="20"/>
              </w:rPr>
              <w:t>社会公益组织</w:t>
            </w:r>
          </w:p>
        </w:tc>
        <w:tc>
          <w:tcPr>
            <w:tcW w:w="37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4A9119FA">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01" w:right="-101"/>
              <w:jc w:val="center"/>
            </w:pPr>
            <w:r>
              <w:rPr>
                <w:rFonts w:hint="eastAsia" w:ascii="黑体" w:hAnsi="宋体" w:eastAsia="黑体" w:cs="黑体"/>
                <w:i w:val="0"/>
                <w:iCs w:val="0"/>
                <w:color w:val="000000"/>
                <w:spacing w:val="0"/>
                <w:sz w:val="20"/>
                <w:szCs w:val="20"/>
              </w:rPr>
              <w:t>法律服务机构</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60F48985">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58" w:right="-130"/>
              <w:jc w:val="center"/>
            </w:pPr>
            <w:r>
              <w:rPr>
                <w:rFonts w:hint="eastAsia" w:ascii="黑体" w:hAnsi="宋体" w:eastAsia="黑体" w:cs="黑体"/>
                <w:i w:val="0"/>
                <w:iCs w:val="0"/>
                <w:color w:val="000000"/>
                <w:spacing w:val="0"/>
                <w:sz w:val="20"/>
                <w:szCs w:val="20"/>
              </w:rPr>
              <w:t>其他</w:t>
            </w:r>
          </w:p>
        </w:tc>
        <w:tc>
          <w:tcPr>
            <w:tcW w:w="510" w:type="dxa"/>
            <w:vMerge w:val="continue"/>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2718F69E">
            <w:pPr>
              <w:rPr>
                <w:rFonts w:hint="eastAsia" w:ascii="宋体"/>
                <w:sz w:val="24"/>
                <w:szCs w:val="24"/>
              </w:rPr>
            </w:pPr>
          </w:p>
        </w:tc>
      </w:tr>
      <w:tr w14:paraId="7BB13513">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4155" w:type="dxa"/>
            <w:gridSpan w:val="3"/>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03E611F7">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both"/>
            </w:pPr>
            <w:bookmarkStart w:id="4" w:name="_Hlk66973412"/>
            <w:bookmarkEnd w:id="4"/>
            <w:r>
              <w:rPr>
                <w:rFonts w:hint="eastAsia" w:ascii="黑体" w:hAnsi="宋体" w:eastAsia="黑体" w:cs="黑体"/>
                <w:i w:val="0"/>
                <w:iCs w:val="0"/>
                <w:color w:val="000000"/>
                <w:spacing w:val="0"/>
                <w:sz w:val="20"/>
                <w:szCs w:val="20"/>
              </w:rPr>
              <w:t>一、本年新收政府信息公开申请数量</w:t>
            </w:r>
          </w:p>
        </w:tc>
        <w:tc>
          <w:tcPr>
            <w:tcW w:w="49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07F63D80">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rFonts w:hint="default" w:eastAsiaTheme="minorEastAsia"/>
                <w:lang w:val="en-US" w:eastAsia="zh-CN"/>
              </w:rPr>
            </w:pPr>
            <w:r>
              <w:rPr>
                <w:rFonts w:hint="eastAsia" w:ascii="仿宋_GB2312" w:eastAsia="仿宋_GB2312" w:cs="仿宋_GB2312"/>
                <w:i w:val="0"/>
                <w:iCs w:val="0"/>
                <w:color w:val="000000"/>
                <w:spacing w:val="0"/>
                <w:sz w:val="20"/>
                <w:szCs w:val="20"/>
                <w:lang w:val="en-US" w:eastAsia="zh-CN"/>
              </w:rPr>
              <w:t>10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28B21A7B">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65DDCDD7">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54DD325A">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37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15561EB6">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0348506B">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510"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00DFBFC4">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rFonts w:hint="default" w:eastAsiaTheme="minorEastAsia"/>
                <w:lang w:val="en-US" w:eastAsia="zh-CN"/>
              </w:rPr>
            </w:pPr>
            <w:r>
              <w:rPr>
                <w:rFonts w:hint="eastAsia" w:ascii="仿宋_GB2312" w:eastAsia="仿宋_GB2312" w:cs="仿宋_GB2312"/>
                <w:i w:val="0"/>
                <w:iCs w:val="0"/>
                <w:color w:val="000000"/>
                <w:spacing w:val="0"/>
                <w:sz w:val="20"/>
                <w:szCs w:val="20"/>
                <w:lang w:val="en-US" w:eastAsia="zh-CN"/>
              </w:rPr>
              <w:t>10</w:t>
            </w:r>
          </w:p>
        </w:tc>
      </w:tr>
      <w:tr w14:paraId="5E5AAA92">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4155" w:type="dxa"/>
            <w:gridSpan w:val="3"/>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77D5115B">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both"/>
            </w:pPr>
            <w:r>
              <w:rPr>
                <w:rFonts w:hint="eastAsia" w:ascii="黑体" w:hAnsi="宋体" w:eastAsia="黑体" w:cs="黑体"/>
                <w:i w:val="0"/>
                <w:iCs w:val="0"/>
                <w:color w:val="000000"/>
                <w:spacing w:val="0"/>
                <w:sz w:val="20"/>
                <w:szCs w:val="20"/>
              </w:rPr>
              <w:t>二、上年结转政府信息公开申请数量</w:t>
            </w:r>
          </w:p>
        </w:tc>
        <w:tc>
          <w:tcPr>
            <w:tcW w:w="49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50AF20B5">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664BA801">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27917BF7">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0C7CFDBD">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37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6048E442">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33AA925D">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510"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33ABA4E7">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r>
      <w:tr w14:paraId="1C7C9AFF">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405" w:type="dxa"/>
            <w:vMerge w:val="restart"/>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05B3C0BF">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both"/>
            </w:pPr>
            <w:r>
              <w:rPr>
                <w:rFonts w:hint="eastAsia" w:ascii="黑体" w:hAnsi="宋体" w:eastAsia="黑体" w:cs="黑体"/>
                <w:i w:val="0"/>
                <w:iCs w:val="0"/>
                <w:color w:val="000000"/>
                <w:spacing w:val="0"/>
                <w:sz w:val="20"/>
                <w:szCs w:val="20"/>
              </w:rPr>
              <w:t>三、本年度办理结果</w:t>
            </w:r>
          </w:p>
        </w:tc>
        <w:tc>
          <w:tcPr>
            <w:tcW w:w="3540" w:type="dxa"/>
            <w:gridSpan w:val="2"/>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365175B4">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both"/>
            </w:pPr>
            <w:r>
              <w:rPr>
                <w:rFonts w:hint="eastAsia" w:ascii="黑体" w:hAnsi="宋体" w:eastAsia="黑体" w:cs="黑体"/>
                <w:i w:val="0"/>
                <w:iCs w:val="0"/>
                <w:color w:val="000000"/>
                <w:spacing w:val="0"/>
                <w:sz w:val="20"/>
                <w:szCs w:val="20"/>
              </w:rPr>
              <w:t>（一）予以公开</w:t>
            </w:r>
          </w:p>
        </w:tc>
        <w:tc>
          <w:tcPr>
            <w:tcW w:w="49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61B900A8">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3</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032C378B">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7262FEC5">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17856782">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37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28FC1B7F">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7B31C03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510"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7B133CEC">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3</w:t>
            </w:r>
          </w:p>
        </w:tc>
      </w:tr>
      <w:tr w14:paraId="06F9669B">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405" w:type="dxa"/>
            <w:vMerge w:val="continue"/>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7D48A015">
            <w:pPr>
              <w:rPr>
                <w:rFonts w:hint="eastAsia" w:ascii="宋体"/>
                <w:sz w:val="24"/>
                <w:szCs w:val="24"/>
              </w:rPr>
            </w:pPr>
          </w:p>
        </w:tc>
        <w:tc>
          <w:tcPr>
            <w:tcW w:w="3540" w:type="dxa"/>
            <w:gridSpan w:val="2"/>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4B10B0A5">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both"/>
            </w:pPr>
            <w:bookmarkStart w:id="5" w:name="_Hlk66973981"/>
            <w:bookmarkEnd w:id="5"/>
            <w:r>
              <w:rPr>
                <w:rFonts w:hint="eastAsia" w:ascii="黑体" w:hAnsi="宋体" w:eastAsia="黑体" w:cs="黑体"/>
                <w:i w:val="0"/>
                <w:iCs w:val="0"/>
                <w:color w:val="000000"/>
                <w:spacing w:val="0"/>
                <w:sz w:val="20"/>
                <w:szCs w:val="20"/>
              </w:rPr>
              <w:t>（二）部分公开（区分处理的，只计这一情形，不计其他情形）</w:t>
            </w:r>
          </w:p>
        </w:tc>
        <w:tc>
          <w:tcPr>
            <w:tcW w:w="49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60C14444">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rFonts w:hint="default" w:eastAsiaTheme="minorEastAsia"/>
                <w:lang w:val="en-US" w:eastAsia="zh-CN"/>
              </w:rPr>
            </w:pPr>
            <w:r>
              <w:rPr>
                <w:rFonts w:hint="eastAsia" w:ascii="仿宋_GB2312" w:eastAsia="仿宋_GB2312" w:cs="仿宋_GB2312"/>
                <w:i w:val="0"/>
                <w:iCs w:val="0"/>
                <w:color w:val="000000"/>
                <w:spacing w:val="0"/>
                <w:sz w:val="20"/>
                <w:szCs w:val="20"/>
                <w:lang w:val="en-US" w:eastAsia="zh-CN"/>
              </w:rPr>
              <w:t>6</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482240D7">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14BCEFD4">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6A93292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37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74672542">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2F1A7D5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510"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007516F9">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rFonts w:hint="default" w:eastAsiaTheme="minorEastAsia"/>
                <w:lang w:val="en-US" w:eastAsia="zh-CN"/>
              </w:rPr>
            </w:pPr>
            <w:r>
              <w:rPr>
                <w:rFonts w:hint="eastAsia" w:ascii="仿宋_GB2312" w:eastAsia="仿宋_GB2312" w:cs="仿宋_GB2312"/>
                <w:i w:val="0"/>
                <w:iCs w:val="0"/>
                <w:color w:val="000000"/>
                <w:spacing w:val="0"/>
                <w:sz w:val="20"/>
                <w:szCs w:val="20"/>
                <w:lang w:val="en-US" w:eastAsia="zh-CN"/>
              </w:rPr>
              <w:t>6</w:t>
            </w:r>
          </w:p>
        </w:tc>
      </w:tr>
      <w:tr w14:paraId="2F917A37">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405" w:type="dxa"/>
            <w:vMerge w:val="continue"/>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11BB853D">
            <w:pPr>
              <w:rPr>
                <w:rFonts w:hint="eastAsia" w:ascii="宋体"/>
                <w:sz w:val="24"/>
                <w:szCs w:val="24"/>
              </w:rPr>
            </w:pPr>
          </w:p>
        </w:tc>
        <w:tc>
          <w:tcPr>
            <w:tcW w:w="1230" w:type="dxa"/>
            <w:vMerge w:val="restart"/>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5826547E">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01" w:right="0"/>
              <w:jc w:val="both"/>
            </w:pPr>
            <w:r>
              <w:rPr>
                <w:rFonts w:hint="eastAsia" w:ascii="黑体" w:hAnsi="宋体" w:eastAsia="黑体" w:cs="黑体"/>
                <w:i w:val="0"/>
                <w:iCs w:val="0"/>
                <w:color w:val="000000"/>
                <w:spacing w:val="0"/>
                <w:sz w:val="20"/>
                <w:szCs w:val="20"/>
              </w:rPr>
              <w:t>（三）不予公开</w:t>
            </w:r>
          </w:p>
        </w:tc>
        <w:tc>
          <w:tcPr>
            <w:tcW w:w="2100"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181FDA68">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both"/>
            </w:pPr>
            <w:r>
              <w:rPr>
                <w:rFonts w:hint="eastAsia" w:ascii="仿宋_GB2312" w:eastAsia="仿宋_GB2312" w:cs="仿宋_GB2312"/>
                <w:i w:val="0"/>
                <w:iCs w:val="0"/>
                <w:color w:val="000000"/>
                <w:spacing w:val="0"/>
                <w:sz w:val="20"/>
                <w:szCs w:val="20"/>
              </w:rPr>
              <w:t>1.</w:t>
            </w:r>
            <w:r>
              <w:rPr>
                <w:rFonts w:hint="eastAsia" w:ascii="仿宋_GB2312" w:eastAsia="仿宋_GB2312" w:cs="仿宋_GB2312"/>
                <w:i w:val="0"/>
                <w:iCs w:val="0"/>
                <w:sz w:val="20"/>
                <w:szCs w:val="20"/>
              </w:rPr>
              <w:t>属于国家秘密</w:t>
            </w:r>
          </w:p>
        </w:tc>
        <w:tc>
          <w:tcPr>
            <w:tcW w:w="49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355678BE">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637E6237">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1BFB93AC">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21B1CC79">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37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48C5B035">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4B99C555">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510"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7B19E5D5">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r>
      <w:tr w14:paraId="58CB5957">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405" w:type="dxa"/>
            <w:vMerge w:val="continue"/>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7B3F2D96">
            <w:pPr>
              <w:rPr>
                <w:rFonts w:hint="eastAsia" w:ascii="宋体"/>
                <w:sz w:val="24"/>
                <w:szCs w:val="24"/>
              </w:rPr>
            </w:pPr>
          </w:p>
        </w:tc>
        <w:tc>
          <w:tcPr>
            <w:tcW w:w="1230" w:type="dxa"/>
            <w:vMerge w:val="continue"/>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75A04BEC">
            <w:pPr>
              <w:rPr>
                <w:rFonts w:hint="eastAsia" w:ascii="宋体"/>
                <w:sz w:val="24"/>
                <w:szCs w:val="24"/>
              </w:rPr>
            </w:pPr>
          </w:p>
        </w:tc>
        <w:tc>
          <w:tcPr>
            <w:tcW w:w="2100"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1A4C810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both"/>
            </w:pPr>
            <w:bookmarkStart w:id="6" w:name="_Hlk66974104"/>
            <w:bookmarkEnd w:id="6"/>
            <w:r>
              <w:rPr>
                <w:rFonts w:hint="eastAsia" w:ascii="仿宋_GB2312" w:eastAsia="仿宋_GB2312" w:cs="仿宋_GB2312"/>
                <w:i w:val="0"/>
                <w:iCs w:val="0"/>
                <w:color w:val="000000"/>
                <w:spacing w:val="0"/>
                <w:sz w:val="20"/>
                <w:szCs w:val="20"/>
              </w:rPr>
              <w:t>2.</w:t>
            </w:r>
            <w:r>
              <w:rPr>
                <w:rFonts w:hint="eastAsia" w:ascii="仿宋_GB2312" w:eastAsia="仿宋_GB2312" w:cs="仿宋_GB2312"/>
                <w:i w:val="0"/>
                <w:iCs w:val="0"/>
                <w:sz w:val="20"/>
                <w:szCs w:val="20"/>
              </w:rPr>
              <w:t>其他法律行政法规禁止公开</w:t>
            </w:r>
          </w:p>
        </w:tc>
        <w:tc>
          <w:tcPr>
            <w:tcW w:w="49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7EE4518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69EDF8BC">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1E97EF50">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760EE32B">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37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57E7CFDF">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37F920BA">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510"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4AB9ED44">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r>
      <w:tr w14:paraId="68551921">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405" w:type="dxa"/>
            <w:vMerge w:val="continue"/>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0DB513B7">
            <w:pPr>
              <w:rPr>
                <w:rFonts w:hint="eastAsia" w:ascii="宋体"/>
                <w:sz w:val="24"/>
                <w:szCs w:val="24"/>
              </w:rPr>
            </w:pPr>
          </w:p>
        </w:tc>
        <w:tc>
          <w:tcPr>
            <w:tcW w:w="1230" w:type="dxa"/>
            <w:vMerge w:val="continue"/>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45F94BD8">
            <w:pPr>
              <w:rPr>
                <w:rFonts w:hint="eastAsia" w:ascii="宋体"/>
                <w:sz w:val="24"/>
                <w:szCs w:val="24"/>
              </w:rPr>
            </w:pPr>
          </w:p>
        </w:tc>
        <w:tc>
          <w:tcPr>
            <w:tcW w:w="2100"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5987CFCA">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both"/>
            </w:pPr>
            <w:r>
              <w:rPr>
                <w:rFonts w:hint="eastAsia" w:ascii="仿宋_GB2312" w:eastAsia="仿宋_GB2312" w:cs="仿宋_GB2312"/>
                <w:i w:val="0"/>
                <w:iCs w:val="0"/>
                <w:color w:val="000000"/>
                <w:spacing w:val="0"/>
                <w:sz w:val="20"/>
                <w:szCs w:val="20"/>
              </w:rPr>
              <w:t>3.</w:t>
            </w:r>
            <w:r>
              <w:rPr>
                <w:rFonts w:hint="eastAsia" w:ascii="仿宋_GB2312" w:eastAsia="仿宋_GB2312" w:cs="仿宋_GB2312"/>
                <w:i w:val="0"/>
                <w:iCs w:val="0"/>
                <w:sz w:val="20"/>
                <w:szCs w:val="20"/>
              </w:rPr>
              <w:t>危及“三安全一稳定”</w:t>
            </w:r>
          </w:p>
        </w:tc>
        <w:tc>
          <w:tcPr>
            <w:tcW w:w="49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06BB4BE1">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3689640F">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02BBF4B0">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5A27B055">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37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256D0022">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4B88119C">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510"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5266D044">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r>
      <w:tr w14:paraId="6CD11A2A">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PrEx>
        <w:trPr>
          <w:jc w:val="center"/>
        </w:trPr>
        <w:tc>
          <w:tcPr>
            <w:tcW w:w="405" w:type="dxa"/>
            <w:vMerge w:val="continue"/>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148DA64A">
            <w:pPr>
              <w:rPr>
                <w:rFonts w:hint="eastAsia" w:ascii="宋体"/>
                <w:sz w:val="24"/>
                <w:szCs w:val="24"/>
              </w:rPr>
            </w:pPr>
          </w:p>
        </w:tc>
        <w:tc>
          <w:tcPr>
            <w:tcW w:w="1230" w:type="dxa"/>
            <w:vMerge w:val="continue"/>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2C279AE2">
            <w:pPr>
              <w:rPr>
                <w:rFonts w:hint="eastAsia" w:ascii="宋体"/>
                <w:sz w:val="24"/>
                <w:szCs w:val="24"/>
              </w:rPr>
            </w:pPr>
          </w:p>
        </w:tc>
        <w:tc>
          <w:tcPr>
            <w:tcW w:w="2100"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05AA1031">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both"/>
            </w:pPr>
            <w:bookmarkStart w:id="7" w:name="_Hlk66974290"/>
            <w:bookmarkEnd w:id="7"/>
            <w:r>
              <w:rPr>
                <w:rFonts w:hint="eastAsia" w:ascii="仿宋_GB2312" w:eastAsia="仿宋_GB2312" w:cs="仿宋_GB2312"/>
                <w:i w:val="0"/>
                <w:iCs w:val="0"/>
                <w:color w:val="000000"/>
                <w:spacing w:val="0"/>
                <w:sz w:val="20"/>
                <w:szCs w:val="20"/>
              </w:rPr>
              <w:t>4.</w:t>
            </w:r>
            <w:r>
              <w:rPr>
                <w:rFonts w:hint="eastAsia" w:ascii="仿宋_GB2312" w:eastAsia="仿宋_GB2312" w:cs="仿宋_GB2312"/>
                <w:i w:val="0"/>
                <w:iCs w:val="0"/>
                <w:sz w:val="20"/>
                <w:szCs w:val="20"/>
              </w:rPr>
              <w:t>保护第三方合法权益</w:t>
            </w:r>
          </w:p>
        </w:tc>
        <w:tc>
          <w:tcPr>
            <w:tcW w:w="49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131F379D">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2D02A030">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2379FA5B">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4A7AF7CE">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37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17795C8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6696C042">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510"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70248A57">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r>
      <w:tr w14:paraId="188713B2">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405" w:type="dxa"/>
            <w:vMerge w:val="continue"/>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4325C5F1">
            <w:pPr>
              <w:rPr>
                <w:rFonts w:hint="eastAsia" w:ascii="宋体"/>
                <w:sz w:val="24"/>
                <w:szCs w:val="24"/>
              </w:rPr>
            </w:pPr>
          </w:p>
        </w:tc>
        <w:tc>
          <w:tcPr>
            <w:tcW w:w="1230" w:type="dxa"/>
            <w:vMerge w:val="continue"/>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4D420652">
            <w:pPr>
              <w:rPr>
                <w:rFonts w:hint="eastAsia" w:ascii="宋体"/>
                <w:sz w:val="24"/>
                <w:szCs w:val="24"/>
              </w:rPr>
            </w:pPr>
          </w:p>
        </w:tc>
        <w:tc>
          <w:tcPr>
            <w:tcW w:w="2100"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11732779">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both"/>
            </w:pPr>
            <w:r>
              <w:rPr>
                <w:rFonts w:hint="eastAsia" w:ascii="仿宋_GB2312" w:eastAsia="仿宋_GB2312" w:cs="仿宋_GB2312"/>
                <w:i w:val="0"/>
                <w:iCs w:val="0"/>
                <w:color w:val="000000"/>
                <w:spacing w:val="0"/>
                <w:sz w:val="20"/>
                <w:szCs w:val="20"/>
              </w:rPr>
              <w:t>5.</w:t>
            </w:r>
            <w:r>
              <w:rPr>
                <w:rFonts w:hint="eastAsia" w:ascii="仿宋_GB2312" w:eastAsia="仿宋_GB2312" w:cs="仿宋_GB2312"/>
                <w:i w:val="0"/>
                <w:iCs w:val="0"/>
                <w:sz w:val="20"/>
                <w:szCs w:val="20"/>
              </w:rPr>
              <w:t>属于三类内部事务信息</w:t>
            </w:r>
          </w:p>
        </w:tc>
        <w:tc>
          <w:tcPr>
            <w:tcW w:w="49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46B3E13F">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4BA7FE5A">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5D398DB9">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4E5A7A35">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37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3BA1A577">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1C2912F0">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510"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35FF082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r>
      <w:tr w14:paraId="14A7C0EB">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405" w:type="dxa"/>
            <w:vMerge w:val="continue"/>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6921A135">
            <w:pPr>
              <w:rPr>
                <w:rFonts w:hint="eastAsia" w:ascii="宋体"/>
                <w:sz w:val="24"/>
                <w:szCs w:val="24"/>
              </w:rPr>
            </w:pPr>
          </w:p>
        </w:tc>
        <w:tc>
          <w:tcPr>
            <w:tcW w:w="1230" w:type="dxa"/>
            <w:vMerge w:val="continue"/>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600D51F8">
            <w:pPr>
              <w:rPr>
                <w:rFonts w:hint="eastAsia" w:ascii="宋体"/>
                <w:sz w:val="24"/>
                <w:szCs w:val="24"/>
              </w:rPr>
            </w:pPr>
          </w:p>
        </w:tc>
        <w:tc>
          <w:tcPr>
            <w:tcW w:w="2100"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31EAD476">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both"/>
            </w:pPr>
            <w:bookmarkStart w:id="8" w:name="_Hlk66974555"/>
            <w:bookmarkEnd w:id="8"/>
            <w:r>
              <w:rPr>
                <w:rFonts w:hint="eastAsia" w:ascii="仿宋_GB2312" w:eastAsia="仿宋_GB2312" w:cs="仿宋_GB2312"/>
                <w:i w:val="0"/>
                <w:iCs w:val="0"/>
                <w:color w:val="000000"/>
                <w:spacing w:val="0"/>
                <w:sz w:val="20"/>
                <w:szCs w:val="20"/>
              </w:rPr>
              <w:t>6.</w:t>
            </w:r>
            <w:r>
              <w:rPr>
                <w:rFonts w:hint="eastAsia" w:ascii="仿宋_GB2312" w:eastAsia="仿宋_GB2312" w:cs="仿宋_GB2312"/>
                <w:i w:val="0"/>
                <w:iCs w:val="0"/>
                <w:sz w:val="20"/>
                <w:szCs w:val="20"/>
              </w:rPr>
              <w:t>属于四类过程性信息</w:t>
            </w:r>
          </w:p>
        </w:tc>
        <w:tc>
          <w:tcPr>
            <w:tcW w:w="49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7C677F36">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0F60747E">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127B5DCB">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4CD7438C">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37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47202720">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43170589">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510"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68E71734">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r>
      <w:tr w14:paraId="6A2261B2">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405" w:type="dxa"/>
            <w:vMerge w:val="continue"/>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6B6D19DC">
            <w:pPr>
              <w:rPr>
                <w:rFonts w:hint="eastAsia" w:ascii="宋体"/>
                <w:sz w:val="24"/>
                <w:szCs w:val="24"/>
              </w:rPr>
            </w:pPr>
          </w:p>
        </w:tc>
        <w:tc>
          <w:tcPr>
            <w:tcW w:w="1230" w:type="dxa"/>
            <w:vMerge w:val="continue"/>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5886EAE9">
            <w:pPr>
              <w:rPr>
                <w:rFonts w:hint="eastAsia" w:ascii="宋体"/>
                <w:sz w:val="24"/>
                <w:szCs w:val="24"/>
              </w:rPr>
            </w:pPr>
          </w:p>
        </w:tc>
        <w:tc>
          <w:tcPr>
            <w:tcW w:w="2100"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469277AC">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both"/>
            </w:pPr>
            <w:r>
              <w:rPr>
                <w:rFonts w:hint="eastAsia" w:ascii="仿宋_GB2312" w:eastAsia="仿宋_GB2312" w:cs="仿宋_GB2312"/>
                <w:i w:val="0"/>
                <w:iCs w:val="0"/>
                <w:color w:val="000000"/>
                <w:spacing w:val="0"/>
                <w:sz w:val="20"/>
                <w:szCs w:val="20"/>
              </w:rPr>
              <w:t>7.</w:t>
            </w:r>
            <w:r>
              <w:rPr>
                <w:rFonts w:hint="eastAsia" w:ascii="仿宋_GB2312" w:eastAsia="仿宋_GB2312" w:cs="仿宋_GB2312"/>
                <w:i w:val="0"/>
                <w:iCs w:val="0"/>
                <w:sz w:val="20"/>
                <w:szCs w:val="20"/>
              </w:rPr>
              <w:t>属于行政执法案卷</w:t>
            </w:r>
          </w:p>
        </w:tc>
        <w:tc>
          <w:tcPr>
            <w:tcW w:w="49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4BEA6CFB">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57459B9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02B56FDC">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7662EFA4">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37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6D2D96E9">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57A81A9F">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510"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0E71578A">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r>
      <w:tr w14:paraId="343543AA">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405" w:type="dxa"/>
            <w:vMerge w:val="continue"/>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62583CCC">
            <w:pPr>
              <w:rPr>
                <w:rFonts w:hint="eastAsia" w:ascii="宋体"/>
                <w:sz w:val="24"/>
                <w:szCs w:val="24"/>
              </w:rPr>
            </w:pPr>
          </w:p>
        </w:tc>
        <w:tc>
          <w:tcPr>
            <w:tcW w:w="1230" w:type="dxa"/>
            <w:vMerge w:val="continue"/>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73BBF547">
            <w:pPr>
              <w:rPr>
                <w:rFonts w:hint="eastAsia" w:ascii="宋体"/>
                <w:sz w:val="24"/>
                <w:szCs w:val="24"/>
              </w:rPr>
            </w:pPr>
          </w:p>
        </w:tc>
        <w:tc>
          <w:tcPr>
            <w:tcW w:w="2100"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705E8E19">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both"/>
            </w:pPr>
            <w:bookmarkStart w:id="9" w:name="_Hlk66975211"/>
            <w:bookmarkEnd w:id="9"/>
            <w:r>
              <w:rPr>
                <w:rFonts w:hint="eastAsia" w:ascii="仿宋_GB2312" w:eastAsia="仿宋_GB2312" w:cs="仿宋_GB2312"/>
                <w:i w:val="0"/>
                <w:iCs w:val="0"/>
                <w:color w:val="000000"/>
                <w:spacing w:val="0"/>
                <w:sz w:val="20"/>
                <w:szCs w:val="20"/>
              </w:rPr>
              <w:t>8.</w:t>
            </w:r>
            <w:r>
              <w:rPr>
                <w:rFonts w:hint="eastAsia" w:ascii="仿宋_GB2312" w:eastAsia="仿宋_GB2312" w:cs="仿宋_GB2312"/>
                <w:i w:val="0"/>
                <w:iCs w:val="0"/>
                <w:sz w:val="20"/>
                <w:szCs w:val="20"/>
              </w:rPr>
              <w:t>属于行政查询事项</w:t>
            </w:r>
          </w:p>
        </w:tc>
        <w:tc>
          <w:tcPr>
            <w:tcW w:w="49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2485C6F2">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1EE2AF5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3ED892CF">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0134CAB1">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37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13E09A04">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0DF16AB1">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510"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3521AFF0">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r>
      <w:tr w14:paraId="0E26036D">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405" w:type="dxa"/>
            <w:vMerge w:val="continue"/>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274C5EE5">
            <w:pPr>
              <w:rPr>
                <w:rFonts w:hint="eastAsia" w:ascii="宋体"/>
                <w:sz w:val="24"/>
                <w:szCs w:val="24"/>
              </w:rPr>
            </w:pPr>
          </w:p>
        </w:tc>
        <w:tc>
          <w:tcPr>
            <w:tcW w:w="1230" w:type="dxa"/>
            <w:vMerge w:val="restart"/>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2BAB36A0">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01" w:right="0"/>
              <w:jc w:val="both"/>
            </w:pPr>
            <w:r>
              <w:rPr>
                <w:rFonts w:hint="eastAsia" w:ascii="黑体" w:hAnsi="宋体" w:eastAsia="黑体" w:cs="黑体"/>
                <w:i w:val="0"/>
                <w:iCs w:val="0"/>
                <w:color w:val="000000"/>
                <w:spacing w:val="0"/>
                <w:sz w:val="20"/>
                <w:szCs w:val="20"/>
              </w:rPr>
              <w:t>（四）无法提供</w:t>
            </w:r>
          </w:p>
        </w:tc>
        <w:tc>
          <w:tcPr>
            <w:tcW w:w="2100"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62F7EBD8">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both"/>
            </w:pPr>
            <w:r>
              <w:rPr>
                <w:rFonts w:hint="eastAsia" w:ascii="仿宋_GB2312" w:eastAsia="仿宋_GB2312" w:cs="仿宋_GB2312"/>
                <w:i w:val="0"/>
                <w:iCs w:val="0"/>
                <w:color w:val="000000"/>
                <w:spacing w:val="0"/>
                <w:sz w:val="20"/>
                <w:szCs w:val="20"/>
              </w:rPr>
              <w:t>1.</w:t>
            </w:r>
            <w:r>
              <w:rPr>
                <w:rFonts w:hint="eastAsia" w:ascii="仿宋_GB2312" w:eastAsia="仿宋_GB2312" w:cs="仿宋_GB2312"/>
                <w:i w:val="0"/>
                <w:iCs w:val="0"/>
                <w:sz w:val="20"/>
                <w:szCs w:val="20"/>
              </w:rPr>
              <w:t>本机关不掌握相关政府信息</w:t>
            </w:r>
          </w:p>
        </w:tc>
        <w:tc>
          <w:tcPr>
            <w:tcW w:w="49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40C1E314">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rFonts w:hint="eastAsia" w:eastAsiaTheme="minorEastAsia"/>
                <w:lang w:eastAsia="zh-CN"/>
              </w:rPr>
            </w:pPr>
            <w:r>
              <w:rPr>
                <w:rFonts w:hint="eastAsia" w:ascii="仿宋_GB2312" w:eastAsia="仿宋_GB2312" w:cs="仿宋_GB2312"/>
                <w:i w:val="0"/>
                <w:iCs w:val="0"/>
                <w:color w:val="000000"/>
                <w:spacing w:val="0"/>
                <w:sz w:val="20"/>
                <w:szCs w:val="20"/>
                <w:lang w:val="en-US" w:eastAsia="zh-CN"/>
              </w:rPr>
              <w:t>1</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1CA5119A">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78EED7EC">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3F57B9BF">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37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07A7A212">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6B3FF6D0">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510"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68F6030A">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rFonts w:hint="eastAsia" w:eastAsiaTheme="minorEastAsia"/>
                <w:lang w:eastAsia="zh-CN"/>
              </w:rPr>
            </w:pPr>
            <w:r>
              <w:rPr>
                <w:rFonts w:hint="eastAsia" w:ascii="仿宋_GB2312" w:eastAsia="仿宋_GB2312" w:cs="仿宋_GB2312"/>
                <w:i w:val="0"/>
                <w:iCs w:val="0"/>
                <w:color w:val="000000"/>
                <w:spacing w:val="0"/>
                <w:sz w:val="20"/>
                <w:szCs w:val="20"/>
                <w:lang w:val="en-US" w:eastAsia="zh-CN"/>
              </w:rPr>
              <w:t>1</w:t>
            </w:r>
          </w:p>
        </w:tc>
      </w:tr>
      <w:tr w14:paraId="1ADD22A6">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405" w:type="dxa"/>
            <w:vMerge w:val="continue"/>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6D69F2D8">
            <w:pPr>
              <w:rPr>
                <w:rFonts w:hint="eastAsia" w:ascii="宋体"/>
                <w:sz w:val="24"/>
                <w:szCs w:val="24"/>
              </w:rPr>
            </w:pPr>
          </w:p>
        </w:tc>
        <w:tc>
          <w:tcPr>
            <w:tcW w:w="1230" w:type="dxa"/>
            <w:vMerge w:val="continue"/>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5AFD8846">
            <w:pPr>
              <w:rPr>
                <w:rFonts w:hint="eastAsia" w:ascii="宋体"/>
                <w:sz w:val="24"/>
                <w:szCs w:val="24"/>
              </w:rPr>
            </w:pPr>
          </w:p>
        </w:tc>
        <w:tc>
          <w:tcPr>
            <w:tcW w:w="2100"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1B73E39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both"/>
            </w:pPr>
            <w:bookmarkStart w:id="10" w:name="_Hlk66975392"/>
            <w:bookmarkEnd w:id="10"/>
            <w:r>
              <w:rPr>
                <w:rFonts w:hint="eastAsia" w:ascii="仿宋_GB2312" w:eastAsia="仿宋_GB2312" w:cs="仿宋_GB2312"/>
                <w:i w:val="0"/>
                <w:iCs w:val="0"/>
                <w:color w:val="000000"/>
                <w:spacing w:val="0"/>
                <w:sz w:val="20"/>
                <w:szCs w:val="20"/>
              </w:rPr>
              <w:t>2.</w:t>
            </w:r>
            <w:r>
              <w:rPr>
                <w:rFonts w:hint="eastAsia" w:ascii="仿宋_GB2312" w:eastAsia="仿宋_GB2312" w:cs="仿宋_GB2312"/>
                <w:i w:val="0"/>
                <w:iCs w:val="0"/>
                <w:sz w:val="20"/>
                <w:szCs w:val="20"/>
              </w:rPr>
              <w:t>没有现成信息需要另行制作</w:t>
            </w:r>
          </w:p>
        </w:tc>
        <w:tc>
          <w:tcPr>
            <w:tcW w:w="49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56A7AC1B">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6E806CD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14A95885">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4B30CC60">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37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427FBD67">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0A655A6C">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510"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2ADEFCDF">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r>
      <w:tr w14:paraId="3DBE58DC">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405" w:type="dxa"/>
            <w:vMerge w:val="continue"/>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7C53D40C">
            <w:pPr>
              <w:rPr>
                <w:rFonts w:hint="eastAsia" w:ascii="宋体"/>
                <w:sz w:val="24"/>
                <w:szCs w:val="24"/>
              </w:rPr>
            </w:pPr>
          </w:p>
        </w:tc>
        <w:tc>
          <w:tcPr>
            <w:tcW w:w="1230" w:type="dxa"/>
            <w:vMerge w:val="continue"/>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43166D31">
            <w:pPr>
              <w:rPr>
                <w:rFonts w:hint="eastAsia" w:ascii="宋体"/>
                <w:sz w:val="24"/>
                <w:szCs w:val="24"/>
              </w:rPr>
            </w:pPr>
          </w:p>
        </w:tc>
        <w:tc>
          <w:tcPr>
            <w:tcW w:w="2100"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63404141">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both"/>
            </w:pPr>
            <w:bookmarkStart w:id="11" w:name="_Hlk66975466"/>
            <w:bookmarkEnd w:id="11"/>
            <w:r>
              <w:rPr>
                <w:rFonts w:hint="eastAsia" w:ascii="仿宋_GB2312" w:eastAsia="仿宋_GB2312" w:cs="仿宋_GB2312"/>
                <w:i w:val="0"/>
                <w:iCs w:val="0"/>
                <w:color w:val="000000"/>
                <w:spacing w:val="0"/>
                <w:sz w:val="20"/>
                <w:szCs w:val="20"/>
              </w:rPr>
              <w:t>3.</w:t>
            </w:r>
            <w:r>
              <w:rPr>
                <w:rFonts w:hint="eastAsia" w:ascii="仿宋_GB2312" w:eastAsia="仿宋_GB2312" w:cs="仿宋_GB2312"/>
                <w:i w:val="0"/>
                <w:iCs w:val="0"/>
                <w:sz w:val="20"/>
                <w:szCs w:val="20"/>
              </w:rPr>
              <w:t>补正后申请内容仍不明确</w:t>
            </w:r>
          </w:p>
        </w:tc>
        <w:tc>
          <w:tcPr>
            <w:tcW w:w="49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2CBC5A4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7953B960">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6E178ABE">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4F4F9B7D">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37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7D357A4A">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1643791E">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510"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4876DF12">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r>
      <w:tr w14:paraId="6BEAA818">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405" w:type="dxa"/>
            <w:vMerge w:val="continue"/>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2A768E5A">
            <w:pPr>
              <w:rPr>
                <w:rFonts w:hint="eastAsia" w:ascii="宋体"/>
                <w:sz w:val="24"/>
                <w:szCs w:val="24"/>
              </w:rPr>
            </w:pPr>
          </w:p>
        </w:tc>
        <w:tc>
          <w:tcPr>
            <w:tcW w:w="1230" w:type="dxa"/>
            <w:vMerge w:val="restart"/>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7746DCF5">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01" w:right="0"/>
              <w:jc w:val="both"/>
            </w:pPr>
            <w:r>
              <w:rPr>
                <w:rFonts w:hint="eastAsia" w:ascii="黑体" w:hAnsi="宋体" w:eastAsia="黑体" w:cs="黑体"/>
                <w:i w:val="0"/>
                <w:iCs w:val="0"/>
                <w:color w:val="000000"/>
                <w:spacing w:val="0"/>
                <w:sz w:val="20"/>
                <w:szCs w:val="20"/>
              </w:rPr>
              <w:t>（五）不予处理</w:t>
            </w:r>
          </w:p>
        </w:tc>
        <w:tc>
          <w:tcPr>
            <w:tcW w:w="2100"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32BB6587">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both"/>
            </w:pPr>
            <w:bookmarkStart w:id="12" w:name="_Hlk66975537"/>
            <w:bookmarkEnd w:id="12"/>
            <w:r>
              <w:rPr>
                <w:rFonts w:hint="eastAsia" w:ascii="仿宋_GB2312" w:eastAsia="仿宋_GB2312" w:cs="仿宋_GB2312"/>
                <w:i w:val="0"/>
                <w:iCs w:val="0"/>
                <w:color w:val="000000"/>
                <w:spacing w:val="0"/>
                <w:sz w:val="20"/>
                <w:szCs w:val="20"/>
              </w:rPr>
              <w:t>1.</w:t>
            </w:r>
            <w:r>
              <w:rPr>
                <w:rFonts w:hint="eastAsia" w:ascii="仿宋_GB2312" w:eastAsia="仿宋_GB2312" w:cs="仿宋_GB2312"/>
                <w:i w:val="0"/>
                <w:iCs w:val="0"/>
                <w:sz w:val="20"/>
                <w:szCs w:val="20"/>
              </w:rPr>
              <w:t>信访举报投诉类申请</w:t>
            </w:r>
          </w:p>
        </w:tc>
        <w:tc>
          <w:tcPr>
            <w:tcW w:w="49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113A3BFD">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540AE521">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5C2F7BC2">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2EF1E199">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37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385D2588">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471A2D07">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510"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131BFD19">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r>
      <w:tr w14:paraId="6C1D0102">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405" w:type="dxa"/>
            <w:vMerge w:val="continue"/>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37EE51DC">
            <w:pPr>
              <w:rPr>
                <w:rFonts w:hint="eastAsia" w:ascii="宋体"/>
                <w:sz w:val="24"/>
                <w:szCs w:val="24"/>
              </w:rPr>
            </w:pPr>
          </w:p>
        </w:tc>
        <w:tc>
          <w:tcPr>
            <w:tcW w:w="1230" w:type="dxa"/>
            <w:vMerge w:val="continue"/>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6A97AFEC">
            <w:pPr>
              <w:rPr>
                <w:rFonts w:hint="eastAsia" w:ascii="宋体"/>
                <w:sz w:val="24"/>
                <w:szCs w:val="24"/>
              </w:rPr>
            </w:pPr>
          </w:p>
        </w:tc>
        <w:tc>
          <w:tcPr>
            <w:tcW w:w="2100"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489E8985">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both"/>
            </w:pPr>
            <w:r>
              <w:rPr>
                <w:rFonts w:hint="eastAsia" w:ascii="仿宋_GB2312" w:eastAsia="仿宋_GB2312" w:cs="仿宋_GB2312"/>
                <w:i w:val="0"/>
                <w:iCs w:val="0"/>
                <w:color w:val="000000"/>
                <w:spacing w:val="0"/>
                <w:sz w:val="20"/>
                <w:szCs w:val="20"/>
              </w:rPr>
              <w:t>2.</w:t>
            </w:r>
            <w:r>
              <w:rPr>
                <w:rFonts w:hint="eastAsia" w:ascii="仿宋_GB2312" w:eastAsia="仿宋_GB2312" w:cs="仿宋_GB2312"/>
                <w:i w:val="0"/>
                <w:iCs w:val="0"/>
                <w:sz w:val="20"/>
                <w:szCs w:val="20"/>
              </w:rPr>
              <w:t>重复申请</w:t>
            </w:r>
          </w:p>
        </w:tc>
        <w:tc>
          <w:tcPr>
            <w:tcW w:w="49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53ADB7A4">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479D0B95">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304DE7E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1FCBDADB">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37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0CB53C14">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77D1E0A8">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510"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267CF4F7">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r>
      <w:tr w14:paraId="03587E9C">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405" w:type="dxa"/>
            <w:vMerge w:val="continue"/>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79B560A0">
            <w:pPr>
              <w:rPr>
                <w:rFonts w:hint="eastAsia" w:ascii="宋体"/>
                <w:sz w:val="24"/>
                <w:szCs w:val="24"/>
              </w:rPr>
            </w:pPr>
          </w:p>
        </w:tc>
        <w:tc>
          <w:tcPr>
            <w:tcW w:w="1230" w:type="dxa"/>
            <w:vMerge w:val="continue"/>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5470F743">
            <w:pPr>
              <w:rPr>
                <w:rFonts w:hint="eastAsia" w:ascii="宋体"/>
                <w:sz w:val="24"/>
                <w:szCs w:val="24"/>
              </w:rPr>
            </w:pPr>
          </w:p>
        </w:tc>
        <w:tc>
          <w:tcPr>
            <w:tcW w:w="2100"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1C29C408">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both"/>
            </w:pPr>
            <w:r>
              <w:rPr>
                <w:rFonts w:hint="eastAsia" w:ascii="仿宋_GB2312" w:eastAsia="仿宋_GB2312" w:cs="仿宋_GB2312"/>
                <w:i w:val="0"/>
                <w:iCs w:val="0"/>
                <w:color w:val="000000"/>
                <w:spacing w:val="0"/>
                <w:sz w:val="20"/>
                <w:szCs w:val="20"/>
              </w:rPr>
              <w:t>3.</w:t>
            </w:r>
            <w:r>
              <w:rPr>
                <w:rFonts w:hint="eastAsia" w:ascii="仿宋_GB2312" w:eastAsia="仿宋_GB2312" w:cs="仿宋_GB2312"/>
                <w:i w:val="0"/>
                <w:iCs w:val="0"/>
                <w:sz w:val="20"/>
                <w:szCs w:val="20"/>
              </w:rPr>
              <w:t>要求提供公开出版物</w:t>
            </w:r>
          </w:p>
        </w:tc>
        <w:tc>
          <w:tcPr>
            <w:tcW w:w="49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7E2C1CED">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3D9FC79A">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15A8270B">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5806EEE2">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37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24A1E46B">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3EDA6722">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510"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3BB1E7FD">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r>
      <w:tr w14:paraId="7ACC763B">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405" w:type="dxa"/>
            <w:vMerge w:val="continue"/>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17ECA0AC">
            <w:pPr>
              <w:rPr>
                <w:rFonts w:hint="eastAsia" w:ascii="宋体"/>
                <w:sz w:val="24"/>
                <w:szCs w:val="24"/>
              </w:rPr>
            </w:pPr>
          </w:p>
        </w:tc>
        <w:tc>
          <w:tcPr>
            <w:tcW w:w="1230" w:type="dxa"/>
            <w:vMerge w:val="continue"/>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43B22121">
            <w:pPr>
              <w:rPr>
                <w:rFonts w:hint="eastAsia" w:ascii="宋体"/>
                <w:sz w:val="24"/>
                <w:szCs w:val="24"/>
              </w:rPr>
            </w:pPr>
          </w:p>
        </w:tc>
        <w:tc>
          <w:tcPr>
            <w:tcW w:w="2100"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552EE11B">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both"/>
            </w:pPr>
            <w:r>
              <w:rPr>
                <w:rFonts w:hint="eastAsia" w:ascii="仿宋_GB2312" w:eastAsia="仿宋_GB2312" w:cs="仿宋_GB2312"/>
                <w:i w:val="0"/>
                <w:iCs w:val="0"/>
                <w:color w:val="000000"/>
                <w:spacing w:val="0"/>
                <w:sz w:val="20"/>
                <w:szCs w:val="20"/>
              </w:rPr>
              <w:t>4.</w:t>
            </w:r>
            <w:r>
              <w:rPr>
                <w:rFonts w:hint="eastAsia" w:ascii="仿宋_GB2312" w:eastAsia="仿宋_GB2312" w:cs="仿宋_GB2312"/>
                <w:i w:val="0"/>
                <w:iCs w:val="0"/>
                <w:sz w:val="20"/>
                <w:szCs w:val="20"/>
              </w:rPr>
              <w:t>无正当理由大量反复申请</w:t>
            </w:r>
          </w:p>
        </w:tc>
        <w:tc>
          <w:tcPr>
            <w:tcW w:w="49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2D2A1BE8">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64ABA805">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212C71DA">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429E053D">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37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51B00BCA">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55C3959F">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510"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3BBEF526">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r>
      <w:tr w14:paraId="3B6778DB">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405" w:type="dxa"/>
            <w:vMerge w:val="continue"/>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4ADE6C11">
            <w:pPr>
              <w:rPr>
                <w:rFonts w:hint="eastAsia" w:ascii="宋体"/>
                <w:sz w:val="24"/>
                <w:szCs w:val="24"/>
              </w:rPr>
            </w:pPr>
          </w:p>
        </w:tc>
        <w:tc>
          <w:tcPr>
            <w:tcW w:w="1230" w:type="dxa"/>
            <w:vMerge w:val="continue"/>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69076CB2">
            <w:pPr>
              <w:rPr>
                <w:rFonts w:hint="eastAsia" w:ascii="宋体"/>
                <w:sz w:val="24"/>
                <w:szCs w:val="24"/>
              </w:rPr>
            </w:pPr>
          </w:p>
        </w:tc>
        <w:tc>
          <w:tcPr>
            <w:tcW w:w="2100"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0FF7A81D">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both"/>
            </w:pPr>
            <w:r>
              <w:rPr>
                <w:rFonts w:hint="eastAsia" w:ascii="仿宋_GB2312" w:eastAsia="仿宋_GB2312" w:cs="仿宋_GB2312"/>
                <w:i w:val="0"/>
                <w:iCs w:val="0"/>
                <w:color w:val="000000"/>
                <w:spacing w:val="0"/>
                <w:sz w:val="20"/>
                <w:szCs w:val="20"/>
              </w:rPr>
              <w:t>5.</w:t>
            </w:r>
            <w:r>
              <w:rPr>
                <w:rFonts w:hint="eastAsia" w:ascii="仿宋_GB2312" w:eastAsia="仿宋_GB2312" w:cs="仿宋_GB2312"/>
                <w:i w:val="0"/>
                <w:iCs w:val="0"/>
                <w:sz w:val="20"/>
                <w:szCs w:val="20"/>
              </w:rPr>
              <w:t>要求行政机关确认或重新</w:t>
            </w:r>
          </w:p>
          <w:p w14:paraId="7C5918E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firstLine="216"/>
              <w:jc w:val="both"/>
            </w:pPr>
            <w:r>
              <w:rPr>
                <w:rFonts w:hint="eastAsia" w:ascii="仿宋_GB2312" w:eastAsia="仿宋_GB2312" w:cs="仿宋_GB2312"/>
                <w:i w:val="0"/>
                <w:iCs w:val="0"/>
                <w:color w:val="000000"/>
                <w:spacing w:val="0"/>
                <w:sz w:val="20"/>
                <w:szCs w:val="20"/>
              </w:rPr>
              <w:t>出具已获取信息</w:t>
            </w:r>
          </w:p>
        </w:tc>
        <w:tc>
          <w:tcPr>
            <w:tcW w:w="49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328F6770">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4AD46DDB">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0DDEE1E0">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2270EDBA">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37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7DC8359D">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3FB54585">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510"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6B2A79E6">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r>
      <w:tr w14:paraId="38C34741">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405" w:type="dxa"/>
            <w:vMerge w:val="continue"/>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794454A2">
            <w:pPr>
              <w:rPr>
                <w:rFonts w:hint="eastAsia" w:ascii="宋体"/>
                <w:sz w:val="24"/>
                <w:szCs w:val="24"/>
              </w:rPr>
            </w:pPr>
          </w:p>
        </w:tc>
        <w:tc>
          <w:tcPr>
            <w:tcW w:w="1230" w:type="dxa"/>
            <w:vMerge w:val="restart"/>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1DC37832">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both"/>
            </w:pPr>
            <w:r>
              <w:rPr>
                <w:rFonts w:hint="eastAsia" w:ascii="黑体" w:hAnsi="宋体" w:eastAsia="黑体" w:cs="黑体"/>
                <w:i w:val="0"/>
                <w:iCs w:val="0"/>
                <w:color w:val="000000"/>
                <w:spacing w:val="0"/>
                <w:sz w:val="20"/>
                <w:szCs w:val="20"/>
              </w:rPr>
              <w:t>（六）其他处理</w:t>
            </w:r>
          </w:p>
        </w:tc>
        <w:tc>
          <w:tcPr>
            <w:tcW w:w="2100" w:type="dxa"/>
            <w:tcBorders>
              <w:top w:val="single" w:color="000000" w:sz="6" w:space="0"/>
              <w:left w:val="single" w:color="000000" w:sz="6" w:space="0"/>
              <w:bottom w:val="single" w:color="000000" w:sz="6" w:space="0"/>
              <w:right w:val="single" w:color="000000" w:sz="6" w:space="0"/>
            </w:tcBorders>
            <w:shd w:val="clear" w:color="auto" w:fill="auto"/>
            <w:tcMar>
              <w:top w:w="0" w:type="dxa"/>
              <w:left w:w="0" w:type="dxa"/>
              <w:bottom w:w="0" w:type="dxa"/>
              <w:right w:w="0" w:type="dxa"/>
            </w:tcMar>
            <w:vAlign w:val="center"/>
          </w:tcPr>
          <w:p w14:paraId="596A29F0">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both"/>
            </w:pPr>
            <w:r>
              <w:rPr>
                <w:rFonts w:hint="eastAsia" w:ascii="仿宋_GB2312" w:eastAsia="仿宋_GB2312" w:cs="仿宋_GB2312"/>
                <w:i w:val="0"/>
                <w:iCs w:val="0"/>
                <w:color w:val="000000"/>
                <w:spacing w:val="0"/>
                <w:sz w:val="20"/>
                <w:szCs w:val="20"/>
              </w:rPr>
              <w:t>1.</w:t>
            </w:r>
            <w:r>
              <w:rPr>
                <w:rFonts w:hint="eastAsia" w:ascii="仿宋_GB2312" w:eastAsia="仿宋_GB2312" w:cs="仿宋_GB2312"/>
                <w:i w:val="0"/>
                <w:iCs w:val="0"/>
                <w:sz w:val="20"/>
                <w:szCs w:val="20"/>
              </w:rPr>
              <w:t>申请人无正当理由逾期不补正、行政机关不再处理其政府信息公开申请</w:t>
            </w:r>
          </w:p>
        </w:tc>
        <w:tc>
          <w:tcPr>
            <w:tcW w:w="49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113C11C7">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43913B77">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21C8EFA5">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7C9E3BCF">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37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081BEE7E">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19E4FD8A">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510"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2893F96F">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r>
      <w:tr w14:paraId="4E04FA1F">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405" w:type="dxa"/>
            <w:vMerge w:val="continue"/>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77BDA297">
            <w:pPr>
              <w:rPr>
                <w:rFonts w:hint="eastAsia" w:ascii="宋体"/>
                <w:sz w:val="24"/>
                <w:szCs w:val="24"/>
              </w:rPr>
            </w:pPr>
          </w:p>
        </w:tc>
        <w:tc>
          <w:tcPr>
            <w:tcW w:w="1230" w:type="dxa"/>
            <w:vMerge w:val="continue"/>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07433BC9">
            <w:pPr>
              <w:rPr>
                <w:rFonts w:hint="eastAsia" w:ascii="宋体"/>
                <w:sz w:val="24"/>
                <w:szCs w:val="24"/>
              </w:rPr>
            </w:pPr>
          </w:p>
        </w:tc>
        <w:tc>
          <w:tcPr>
            <w:tcW w:w="2100" w:type="dxa"/>
            <w:tcBorders>
              <w:top w:val="single" w:color="000000" w:sz="6" w:space="0"/>
              <w:left w:val="single" w:color="000000" w:sz="6" w:space="0"/>
              <w:bottom w:val="single" w:color="000000" w:sz="6" w:space="0"/>
              <w:right w:val="single" w:color="000000" w:sz="6" w:space="0"/>
            </w:tcBorders>
            <w:shd w:val="clear" w:color="auto" w:fill="auto"/>
            <w:tcMar>
              <w:top w:w="0" w:type="dxa"/>
              <w:left w:w="0" w:type="dxa"/>
              <w:bottom w:w="0" w:type="dxa"/>
              <w:right w:w="0" w:type="dxa"/>
            </w:tcMar>
            <w:vAlign w:val="center"/>
          </w:tcPr>
          <w:p w14:paraId="5642B01F">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both"/>
            </w:pPr>
            <w:r>
              <w:rPr>
                <w:rFonts w:hint="eastAsia" w:ascii="仿宋_GB2312" w:eastAsia="仿宋_GB2312" w:cs="仿宋_GB2312"/>
                <w:i w:val="0"/>
                <w:iCs w:val="0"/>
                <w:color w:val="000000"/>
                <w:spacing w:val="0"/>
                <w:sz w:val="20"/>
                <w:szCs w:val="20"/>
              </w:rPr>
              <w:t>2.</w:t>
            </w:r>
            <w:r>
              <w:rPr>
                <w:rFonts w:hint="eastAsia" w:ascii="仿宋_GB2312" w:eastAsia="仿宋_GB2312" w:cs="仿宋_GB2312"/>
                <w:i w:val="0"/>
                <w:iCs w:val="0"/>
                <w:sz w:val="20"/>
                <w:szCs w:val="20"/>
              </w:rPr>
              <w:t>申请人逾期未按收费通知要求缴纳费用、行政机关不再处理其政府信息公开申请</w:t>
            </w:r>
          </w:p>
        </w:tc>
        <w:tc>
          <w:tcPr>
            <w:tcW w:w="49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16B76ED8">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7D20B012">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5BB6748F">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3D66405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37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4240884D">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14F3FE5B">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510"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1F843496">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r>
      <w:tr w14:paraId="0AE4CE92">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405" w:type="dxa"/>
            <w:vMerge w:val="continue"/>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79647EC3">
            <w:pPr>
              <w:rPr>
                <w:rFonts w:hint="eastAsia" w:ascii="宋体"/>
                <w:sz w:val="24"/>
                <w:szCs w:val="24"/>
              </w:rPr>
            </w:pPr>
          </w:p>
        </w:tc>
        <w:tc>
          <w:tcPr>
            <w:tcW w:w="1230" w:type="dxa"/>
            <w:vMerge w:val="continue"/>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247813C4">
            <w:pPr>
              <w:rPr>
                <w:rFonts w:hint="eastAsia" w:ascii="宋体"/>
                <w:sz w:val="24"/>
                <w:szCs w:val="24"/>
              </w:rPr>
            </w:pPr>
          </w:p>
        </w:tc>
        <w:tc>
          <w:tcPr>
            <w:tcW w:w="2100" w:type="dxa"/>
            <w:tcBorders>
              <w:top w:val="single" w:color="000000" w:sz="6" w:space="0"/>
              <w:left w:val="single" w:color="000000" w:sz="6" w:space="0"/>
              <w:bottom w:val="single" w:color="000000" w:sz="6" w:space="0"/>
              <w:right w:val="single" w:color="000000" w:sz="6" w:space="0"/>
            </w:tcBorders>
            <w:shd w:val="clear" w:color="auto" w:fill="auto"/>
            <w:tcMar>
              <w:top w:w="0" w:type="dxa"/>
              <w:left w:w="0" w:type="dxa"/>
              <w:bottom w:w="0" w:type="dxa"/>
              <w:right w:w="0" w:type="dxa"/>
            </w:tcMar>
            <w:vAlign w:val="center"/>
          </w:tcPr>
          <w:p w14:paraId="6DE6D18C">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both"/>
            </w:pPr>
            <w:r>
              <w:rPr>
                <w:rFonts w:hint="eastAsia" w:ascii="仿宋_GB2312" w:eastAsia="仿宋_GB2312" w:cs="仿宋_GB2312"/>
                <w:i w:val="0"/>
                <w:iCs w:val="0"/>
                <w:color w:val="000000"/>
                <w:spacing w:val="0"/>
                <w:sz w:val="20"/>
                <w:szCs w:val="20"/>
              </w:rPr>
              <w:t>3.</w:t>
            </w:r>
            <w:r>
              <w:rPr>
                <w:rFonts w:hint="eastAsia" w:ascii="仿宋_GB2312" w:eastAsia="仿宋_GB2312" w:cs="仿宋_GB2312"/>
                <w:i w:val="0"/>
                <w:iCs w:val="0"/>
                <w:sz w:val="20"/>
                <w:szCs w:val="20"/>
              </w:rPr>
              <w:t>其他</w:t>
            </w:r>
          </w:p>
        </w:tc>
        <w:tc>
          <w:tcPr>
            <w:tcW w:w="49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780F3170">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rFonts w:hint="eastAsia" w:eastAsiaTheme="minorEastAsia"/>
                <w:lang w:eastAsia="zh-CN"/>
              </w:rPr>
            </w:pPr>
            <w:r>
              <w:rPr>
                <w:rFonts w:hint="eastAsia" w:ascii="仿宋_GB2312" w:eastAsia="仿宋_GB2312" w:cs="仿宋_GB2312"/>
                <w:i w:val="0"/>
                <w:iCs w:val="0"/>
                <w:color w:val="000000"/>
                <w:spacing w:val="0"/>
                <w:sz w:val="20"/>
                <w:szCs w:val="20"/>
                <w:lang w:val="en-US" w:eastAsia="zh-CN"/>
              </w:rPr>
              <w:t>1</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219B35FC">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22E78D3D">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7F7F4DAF">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37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3B8A62E4">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6A170521">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510"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2731F5C0">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rFonts w:hint="eastAsia" w:eastAsiaTheme="minorEastAsia"/>
                <w:lang w:eastAsia="zh-CN"/>
              </w:rPr>
            </w:pPr>
            <w:r>
              <w:rPr>
                <w:rFonts w:hint="eastAsia" w:ascii="仿宋_GB2312" w:eastAsia="仿宋_GB2312" w:cs="仿宋_GB2312"/>
                <w:i w:val="0"/>
                <w:iCs w:val="0"/>
                <w:color w:val="000000"/>
                <w:spacing w:val="0"/>
                <w:sz w:val="20"/>
                <w:szCs w:val="20"/>
                <w:lang w:val="en-US" w:eastAsia="zh-CN"/>
              </w:rPr>
              <w:t>1</w:t>
            </w:r>
          </w:p>
        </w:tc>
      </w:tr>
      <w:tr w14:paraId="2790D04C">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405" w:type="dxa"/>
            <w:vMerge w:val="continue"/>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180AB85B">
            <w:pPr>
              <w:rPr>
                <w:rFonts w:hint="eastAsia" w:ascii="宋体"/>
                <w:sz w:val="24"/>
                <w:szCs w:val="24"/>
              </w:rPr>
            </w:pPr>
          </w:p>
        </w:tc>
        <w:tc>
          <w:tcPr>
            <w:tcW w:w="3540" w:type="dxa"/>
            <w:gridSpan w:val="2"/>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0FE5FB02">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both"/>
            </w:pPr>
            <w:r>
              <w:rPr>
                <w:rFonts w:hint="eastAsia" w:ascii="黑体" w:hAnsi="宋体" w:eastAsia="黑体" w:cs="黑体"/>
                <w:i w:val="0"/>
                <w:iCs w:val="0"/>
                <w:color w:val="000000"/>
                <w:spacing w:val="0"/>
                <w:sz w:val="20"/>
                <w:szCs w:val="20"/>
              </w:rPr>
              <w:t>（七）总计</w:t>
            </w:r>
          </w:p>
        </w:tc>
        <w:tc>
          <w:tcPr>
            <w:tcW w:w="49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57D3134D">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rFonts w:hint="default" w:eastAsiaTheme="minorEastAsia"/>
                <w:color w:val="C00000"/>
                <w:highlight w:val="yellow"/>
                <w:lang w:val="en-US" w:eastAsia="zh-CN"/>
              </w:rPr>
            </w:pPr>
            <w:r>
              <w:rPr>
                <w:rFonts w:hint="eastAsia"/>
                <w:lang w:val="en-US" w:eastAsia="zh-CN"/>
              </w:rPr>
              <w:t>10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399016D2">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6F17E54E">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70510365">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37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3EA8D6B2">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4C7BE74C">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510"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1B6EA881">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rFonts w:hint="default" w:eastAsiaTheme="minorEastAsia"/>
                <w:lang w:val="en-US" w:eastAsia="zh-CN"/>
              </w:rPr>
            </w:pPr>
            <w:r>
              <w:rPr>
                <w:rFonts w:hint="eastAsia" w:ascii="仿宋_GB2312" w:eastAsia="仿宋_GB2312" w:cs="仿宋_GB2312"/>
                <w:i w:val="0"/>
                <w:iCs w:val="0"/>
                <w:color w:val="000000"/>
                <w:spacing w:val="0"/>
                <w:sz w:val="20"/>
                <w:szCs w:val="20"/>
                <w:lang w:val="en-US" w:eastAsia="zh-CN"/>
              </w:rPr>
              <w:t>10</w:t>
            </w:r>
          </w:p>
        </w:tc>
      </w:tr>
      <w:tr w14:paraId="23B0C47F">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4155" w:type="dxa"/>
            <w:gridSpan w:val="3"/>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061A495E">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both"/>
            </w:pPr>
            <w:r>
              <w:rPr>
                <w:rFonts w:hint="eastAsia" w:ascii="黑体" w:hAnsi="宋体" w:eastAsia="黑体" w:cs="黑体"/>
                <w:i w:val="0"/>
                <w:iCs w:val="0"/>
                <w:color w:val="000000"/>
                <w:spacing w:val="0"/>
                <w:sz w:val="20"/>
                <w:szCs w:val="20"/>
              </w:rPr>
              <w:t>四、结转下年度继续办理</w:t>
            </w:r>
          </w:p>
        </w:tc>
        <w:tc>
          <w:tcPr>
            <w:tcW w:w="49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73D76F4B">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05E0B71D">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4BB18067">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75A00B4F">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37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7E384AF8">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285"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1BB758DA">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c>
          <w:tcPr>
            <w:tcW w:w="510" w:type="dxa"/>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5DC569FD">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仿宋_GB2312" w:eastAsia="仿宋_GB2312" w:cs="仿宋_GB2312"/>
                <w:i w:val="0"/>
                <w:iCs w:val="0"/>
                <w:color w:val="000000"/>
                <w:spacing w:val="0"/>
                <w:sz w:val="20"/>
                <w:szCs w:val="20"/>
              </w:rPr>
              <w:t>0</w:t>
            </w:r>
          </w:p>
        </w:tc>
      </w:tr>
    </w:tbl>
    <w:p w14:paraId="540DF2B2">
      <w:pPr>
        <w:pStyle w:val="5"/>
        <w:keepNext w:val="0"/>
        <w:keepLines w:val="0"/>
        <w:widowControl/>
        <w:suppressLineNumbers w:val="0"/>
        <w:spacing w:before="274" w:beforeAutospacing="0" w:after="274" w:afterAutospacing="0" w:line="374" w:lineRule="atLeast"/>
        <w:jc w:val="both"/>
      </w:pPr>
      <w:r>
        <w:rPr>
          <w:color w:val="000000"/>
          <w:spacing w:val="0"/>
        </w:rPr>
        <w:t>     </w:t>
      </w:r>
    </w:p>
    <w:p w14:paraId="1EFBAA42">
      <w:pPr>
        <w:pStyle w:val="5"/>
        <w:keepNext w:val="0"/>
        <w:keepLines w:val="0"/>
        <w:widowControl/>
        <w:suppressLineNumbers w:val="0"/>
        <w:spacing w:before="274" w:beforeAutospacing="0" w:after="274" w:afterAutospacing="0" w:line="374" w:lineRule="atLeast"/>
        <w:jc w:val="both"/>
      </w:pPr>
      <w:r>
        <w:rPr>
          <w:color w:val="000000"/>
          <w:spacing w:val="0"/>
        </w:rPr>
        <w:t>   </w:t>
      </w:r>
      <w:r>
        <w:rPr>
          <w:rFonts w:hint="eastAsia" w:ascii="黑体" w:hAnsi="宋体" w:eastAsia="黑体" w:cs="黑体"/>
          <w:b w:val="0"/>
          <w:bCs w:val="0"/>
          <w:i w:val="0"/>
          <w:iCs w:val="0"/>
          <w:color w:val="000000"/>
          <w:spacing w:val="0"/>
          <w:sz w:val="30"/>
          <w:szCs w:val="30"/>
        </w:rPr>
        <w:t>四、政府信息公开行政复议、行政诉讼情况</w:t>
      </w:r>
    </w:p>
    <w:tbl>
      <w:tblPr>
        <w:tblStyle w:val="6"/>
        <w:tblW w:w="8505" w:type="dxa"/>
        <w:jc w:val="center"/>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Layout w:type="autofit"/>
        <w:tblCellMar>
          <w:top w:w="75" w:type="dxa"/>
          <w:left w:w="150" w:type="dxa"/>
          <w:bottom w:w="75" w:type="dxa"/>
          <w:right w:w="150" w:type="dxa"/>
        </w:tblCellMar>
      </w:tblPr>
      <w:tblGrid>
        <w:gridCol w:w="347"/>
        <w:gridCol w:w="363"/>
        <w:gridCol w:w="363"/>
        <w:gridCol w:w="363"/>
        <w:gridCol w:w="1360"/>
        <w:gridCol w:w="332"/>
        <w:gridCol w:w="364"/>
        <w:gridCol w:w="364"/>
        <w:gridCol w:w="364"/>
        <w:gridCol w:w="1296"/>
        <w:gridCol w:w="364"/>
        <w:gridCol w:w="364"/>
        <w:gridCol w:w="364"/>
        <w:gridCol w:w="364"/>
        <w:gridCol w:w="1533"/>
      </w:tblGrid>
      <w:tr w14:paraId="31B8B11D">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trHeight w:val="271" w:hRule="atLeast"/>
          <w:jc w:val="center"/>
        </w:trPr>
        <w:tc>
          <w:tcPr>
            <w:tcW w:w="2655" w:type="dxa"/>
            <w:gridSpan w:val="5"/>
            <w:tcBorders>
              <w:top w:val="single" w:color="000000" w:sz="6" w:space="0"/>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1CFCBF4D">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黑体" w:hAnsi="宋体" w:eastAsia="黑体" w:cs="黑体"/>
                <w:i w:val="0"/>
                <w:iCs w:val="0"/>
                <w:color w:val="000000"/>
                <w:spacing w:val="0"/>
                <w:sz w:val="18"/>
                <w:szCs w:val="18"/>
              </w:rPr>
              <w:t>行政复议</w:t>
            </w:r>
          </w:p>
        </w:tc>
        <w:tc>
          <w:tcPr>
            <w:tcW w:w="5415" w:type="dxa"/>
            <w:gridSpan w:val="10"/>
            <w:tcBorders>
              <w:top w:val="single" w:color="000000" w:sz="6" w:space="0"/>
              <w:left w:val="nil"/>
              <w:bottom w:val="single" w:color="000000" w:sz="6" w:space="0"/>
              <w:right w:val="single" w:color="000000" w:sz="6" w:space="0"/>
            </w:tcBorders>
            <w:shd w:val="clear" w:color="auto" w:fill="auto"/>
            <w:tcMar>
              <w:top w:w="0" w:type="dxa"/>
              <w:left w:w="0" w:type="dxa"/>
              <w:bottom w:w="0" w:type="dxa"/>
              <w:right w:w="101" w:type="dxa"/>
            </w:tcMar>
            <w:vAlign w:val="center"/>
          </w:tcPr>
          <w:p w14:paraId="414B4675">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黑体" w:hAnsi="宋体" w:eastAsia="黑体" w:cs="黑体"/>
                <w:i w:val="0"/>
                <w:iCs w:val="0"/>
                <w:color w:val="000000"/>
                <w:spacing w:val="0"/>
                <w:sz w:val="18"/>
                <w:szCs w:val="18"/>
              </w:rPr>
              <w:t>行政诉讼</w:t>
            </w:r>
          </w:p>
        </w:tc>
      </w:tr>
      <w:tr w14:paraId="4CB281F5">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330" w:type="dxa"/>
            <w:vMerge w:val="restart"/>
            <w:tcBorders>
              <w:top w:val="nil"/>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7665F306">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44" w:right="-158"/>
              <w:jc w:val="center"/>
            </w:pPr>
            <w:r>
              <w:rPr>
                <w:rFonts w:hint="eastAsia" w:ascii="黑体" w:hAnsi="宋体" w:eastAsia="黑体" w:cs="黑体"/>
                <w:i w:val="0"/>
                <w:iCs w:val="0"/>
                <w:color w:val="000000"/>
                <w:spacing w:val="0"/>
                <w:sz w:val="18"/>
                <w:szCs w:val="18"/>
              </w:rPr>
              <w:t>结果</w:t>
            </w:r>
          </w:p>
          <w:p w14:paraId="1C6FDC99">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44" w:right="-158"/>
              <w:jc w:val="center"/>
            </w:pPr>
            <w:r>
              <w:rPr>
                <w:rFonts w:hint="eastAsia" w:ascii="黑体" w:hAnsi="宋体" w:eastAsia="黑体" w:cs="黑体"/>
                <w:i w:val="0"/>
                <w:iCs w:val="0"/>
                <w:color w:val="000000"/>
                <w:spacing w:val="0"/>
                <w:sz w:val="18"/>
                <w:szCs w:val="18"/>
              </w:rPr>
              <w:t>维持</w:t>
            </w:r>
          </w:p>
        </w:tc>
        <w:tc>
          <w:tcPr>
            <w:tcW w:w="345" w:type="dxa"/>
            <w:vMerge w:val="restart"/>
            <w:tcBorders>
              <w:top w:val="nil"/>
              <w:left w:val="nil"/>
              <w:bottom w:val="single" w:color="000000" w:sz="6" w:space="0"/>
              <w:right w:val="single" w:color="000000" w:sz="6" w:space="0"/>
            </w:tcBorders>
            <w:shd w:val="clear" w:color="auto" w:fill="auto"/>
            <w:tcMar>
              <w:top w:w="0" w:type="dxa"/>
              <w:left w:w="0" w:type="dxa"/>
              <w:bottom w:w="0" w:type="dxa"/>
              <w:right w:w="101" w:type="dxa"/>
            </w:tcMar>
            <w:vAlign w:val="center"/>
          </w:tcPr>
          <w:p w14:paraId="2FA9676D">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43" w:right="-130"/>
              <w:jc w:val="center"/>
            </w:pPr>
            <w:r>
              <w:rPr>
                <w:rFonts w:hint="eastAsia" w:ascii="黑体" w:hAnsi="宋体" w:eastAsia="黑体" w:cs="黑体"/>
                <w:i w:val="0"/>
                <w:iCs w:val="0"/>
                <w:color w:val="000000"/>
                <w:spacing w:val="0"/>
                <w:sz w:val="18"/>
                <w:szCs w:val="18"/>
              </w:rPr>
              <w:t>结果</w:t>
            </w:r>
          </w:p>
          <w:p w14:paraId="506967D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43" w:right="-130"/>
              <w:jc w:val="center"/>
            </w:pPr>
            <w:r>
              <w:rPr>
                <w:rFonts w:hint="eastAsia" w:ascii="黑体" w:hAnsi="宋体" w:eastAsia="黑体" w:cs="黑体"/>
                <w:i w:val="0"/>
                <w:iCs w:val="0"/>
                <w:color w:val="000000"/>
                <w:spacing w:val="0"/>
                <w:sz w:val="18"/>
                <w:szCs w:val="18"/>
              </w:rPr>
              <w:t>纠正</w:t>
            </w:r>
          </w:p>
        </w:tc>
        <w:tc>
          <w:tcPr>
            <w:tcW w:w="345" w:type="dxa"/>
            <w:vMerge w:val="restart"/>
            <w:tcBorders>
              <w:top w:val="single" w:color="000000" w:sz="6" w:space="0"/>
              <w:left w:val="nil"/>
              <w:bottom w:val="single" w:color="000000" w:sz="6" w:space="0"/>
              <w:right w:val="single" w:color="000000" w:sz="6" w:space="0"/>
            </w:tcBorders>
            <w:shd w:val="clear" w:color="auto" w:fill="auto"/>
            <w:tcMar>
              <w:top w:w="0" w:type="dxa"/>
              <w:left w:w="0" w:type="dxa"/>
              <w:bottom w:w="0" w:type="dxa"/>
              <w:right w:w="101" w:type="dxa"/>
            </w:tcMar>
            <w:vAlign w:val="center"/>
          </w:tcPr>
          <w:p w14:paraId="5083E109">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72" w:right="-86"/>
              <w:jc w:val="center"/>
            </w:pPr>
            <w:r>
              <w:rPr>
                <w:rFonts w:hint="eastAsia" w:ascii="黑体" w:hAnsi="宋体" w:eastAsia="黑体" w:cs="黑体"/>
                <w:i w:val="0"/>
                <w:iCs w:val="0"/>
                <w:color w:val="000000"/>
                <w:spacing w:val="0"/>
                <w:sz w:val="18"/>
                <w:szCs w:val="18"/>
              </w:rPr>
              <w:t>其他</w:t>
            </w:r>
          </w:p>
          <w:p w14:paraId="0FEB322C">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72" w:right="-86"/>
              <w:jc w:val="center"/>
            </w:pPr>
            <w:r>
              <w:rPr>
                <w:rFonts w:hint="eastAsia" w:ascii="黑体" w:hAnsi="宋体" w:eastAsia="黑体" w:cs="黑体"/>
                <w:i w:val="0"/>
                <w:iCs w:val="0"/>
                <w:color w:val="000000"/>
                <w:spacing w:val="0"/>
                <w:sz w:val="18"/>
                <w:szCs w:val="18"/>
              </w:rPr>
              <w:t>结果</w:t>
            </w:r>
          </w:p>
        </w:tc>
        <w:tc>
          <w:tcPr>
            <w:tcW w:w="345" w:type="dxa"/>
            <w:vMerge w:val="restart"/>
            <w:tcBorders>
              <w:top w:val="single" w:color="000000" w:sz="6" w:space="0"/>
              <w:left w:val="nil"/>
              <w:bottom w:val="single" w:color="000000" w:sz="6" w:space="0"/>
              <w:right w:val="single" w:color="000000" w:sz="6" w:space="0"/>
            </w:tcBorders>
            <w:shd w:val="clear" w:color="auto" w:fill="auto"/>
            <w:tcMar>
              <w:top w:w="0" w:type="dxa"/>
              <w:left w:w="0" w:type="dxa"/>
              <w:bottom w:w="0" w:type="dxa"/>
              <w:right w:w="101" w:type="dxa"/>
            </w:tcMar>
            <w:vAlign w:val="center"/>
          </w:tcPr>
          <w:p w14:paraId="4B340DE7">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15" w:right="-115"/>
              <w:jc w:val="center"/>
            </w:pPr>
            <w:r>
              <w:rPr>
                <w:rFonts w:hint="eastAsia" w:ascii="黑体" w:hAnsi="宋体" w:eastAsia="黑体" w:cs="黑体"/>
                <w:i w:val="0"/>
                <w:iCs w:val="0"/>
                <w:color w:val="000000"/>
                <w:spacing w:val="0"/>
                <w:sz w:val="18"/>
                <w:szCs w:val="18"/>
              </w:rPr>
              <w:t>尚未</w:t>
            </w:r>
          </w:p>
          <w:p w14:paraId="73B5FABA">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15" w:right="-115"/>
              <w:jc w:val="center"/>
            </w:pPr>
            <w:r>
              <w:rPr>
                <w:rFonts w:hint="eastAsia" w:ascii="黑体" w:hAnsi="宋体" w:eastAsia="黑体" w:cs="黑体"/>
                <w:i w:val="0"/>
                <w:iCs w:val="0"/>
                <w:color w:val="000000"/>
                <w:spacing w:val="0"/>
                <w:sz w:val="18"/>
                <w:szCs w:val="18"/>
              </w:rPr>
              <w:t>审结</w:t>
            </w:r>
          </w:p>
        </w:tc>
        <w:tc>
          <w:tcPr>
            <w:tcW w:w="420" w:type="dxa"/>
            <w:vMerge w:val="restart"/>
            <w:tcBorders>
              <w:top w:val="single" w:color="000000" w:sz="6" w:space="0"/>
              <w:left w:val="nil"/>
              <w:bottom w:val="single" w:color="000000" w:sz="6" w:space="0"/>
              <w:right w:val="single" w:color="000000" w:sz="6" w:space="0"/>
            </w:tcBorders>
            <w:shd w:val="clear" w:color="auto" w:fill="auto"/>
            <w:tcMar>
              <w:top w:w="0" w:type="dxa"/>
              <w:left w:w="0" w:type="dxa"/>
              <w:bottom w:w="0" w:type="dxa"/>
              <w:right w:w="101" w:type="dxa"/>
            </w:tcMar>
            <w:vAlign w:val="center"/>
          </w:tcPr>
          <w:p w14:paraId="7B6B170D">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黑体" w:hAnsi="宋体" w:eastAsia="黑体" w:cs="黑体"/>
                <w:i w:val="0"/>
                <w:iCs w:val="0"/>
                <w:color w:val="000000"/>
                <w:spacing w:val="0"/>
                <w:sz w:val="18"/>
                <w:szCs w:val="18"/>
              </w:rPr>
              <w:t>总</w:t>
            </w:r>
          </w:p>
          <w:p w14:paraId="2FDFD9CA">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黑体" w:hAnsi="宋体" w:eastAsia="黑体" w:cs="黑体"/>
                <w:i w:val="0"/>
                <w:iCs w:val="0"/>
                <w:color w:val="000000"/>
                <w:spacing w:val="0"/>
                <w:sz w:val="18"/>
                <w:szCs w:val="18"/>
              </w:rPr>
              <w:t>计</w:t>
            </w:r>
          </w:p>
        </w:tc>
        <w:tc>
          <w:tcPr>
            <w:tcW w:w="2580" w:type="dxa"/>
            <w:gridSpan w:val="5"/>
            <w:tcBorders>
              <w:top w:val="single" w:color="000000" w:sz="6" w:space="0"/>
              <w:left w:val="nil"/>
              <w:bottom w:val="single" w:color="000000" w:sz="6" w:space="0"/>
              <w:right w:val="single" w:color="000000" w:sz="6" w:space="0"/>
            </w:tcBorders>
            <w:shd w:val="clear" w:color="auto" w:fill="auto"/>
            <w:tcMar>
              <w:top w:w="0" w:type="dxa"/>
              <w:left w:w="0" w:type="dxa"/>
              <w:bottom w:w="0" w:type="dxa"/>
              <w:right w:w="101" w:type="dxa"/>
            </w:tcMar>
            <w:vAlign w:val="center"/>
          </w:tcPr>
          <w:p w14:paraId="42CD2F9F">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黑体" w:hAnsi="宋体" w:eastAsia="黑体" w:cs="黑体"/>
                <w:i w:val="0"/>
                <w:iCs w:val="0"/>
                <w:color w:val="000000"/>
                <w:spacing w:val="0"/>
                <w:sz w:val="18"/>
                <w:szCs w:val="18"/>
              </w:rPr>
              <w:t>未经复议直接起诉</w:t>
            </w:r>
          </w:p>
        </w:tc>
        <w:tc>
          <w:tcPr>
            <w:tcW w:w="2625" w:type="dxa"/>
            <w:gridSpan w:val="5"/>
            <w:tcBorders>
              <w:top w:val="single" w:color="000000" w:sz="6" w:space="0"/>
              <w:left w:val="nil"/>
              <w:bottom w:val="single" w:color="000000" w:sz="6" w:space="0"/>
              <w:right w:val="single" w:color="000000" w:sz="6" w:space="0"/>
            </w:tcBorders>
            <w:shd w:val="clear" w:color="auto" w:fill="auto"/>
            <w:tcMar>
              <w:top w:w="0" w:type="dxa"/>
              <w:left w:w="0" w:type="dxa"/>
              <w:bottom w:w="0" w:type="dxa"/>
              <w:right w:w="101" w:type="dxa"/>
            </w:tcMar>
            <w:vAlign w:val="center"/>
          </w:tcPr>
          <w:p w14:paraId="5D62325B">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黑体" w:hAnsi="宋体" w:eastAsia="黑体" w:cs="黑体"/>
                <w:i w:val="0"/>
                <w:iCs w:val="0"/>
                <w:color w:val="000000"/>
                <w:spacing w:val="0"/>
                <w:sz w:val="18"/>
                <w:szCs w:val="18"/>
              </w:rPr>
              <w:t>复议后起诉</w:t>
            </w:r>
          </w:p>
        </w:tc>
      </w:tr>
      <w:tr w14:paraId="0D645751">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330" w:type="dxa"/>
            <w:vMerge w:val="continue"/>
            <w:tcBorders>
              <w:top w:val="nil"/>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3D754EE7">
            <w:pPr>
              <w:rPr>
                <w:rFonts w:hint="eastAsia" w:ascii="宋体"/>
                <w:sz w:val="24"/>
                <w:szCs w:val="24"/>
              </w:rPr>
            </w:pPr>
          </w:p>
        </w:tc>
        <w:tc>
          <w:tcPr>
            <w:tcW w:w="345" w:type="dxa"/>
            <w:vMerge w:val="continue"/>
            <w:tcBorders>
              <w:top w:val="nil"/>
              <w:left w:val="nil"/>
              <w:bottom w:val="single" w:color="000000" w:sz="6" w:space="0"/>
              <w:right w:val="single" w:color="000000" w:sz="6" w:space="0"/>
            </w:tcBorders>
            <w:shd w:val="clear" w:color="auto" w:fill="auto"/>
            <w:tcMar>
              <w:top w:w="0" w:type="dxa"/>
              <w:left w:w="0" w:type="dxa"/>
              <w:bottom w:w="0" w:type="dxa"/>
              <w:right w:w="101" w:type="dxa"/>
            </w:tcMar>
            <w:vAlign w:val="center"/>
          </w:tcPr>
          <w:p w14:paraId="3FE8C150">
            <w:pPr>
              <w:rPr>
                <w:rFonts w:hint="eastAsia" w:ascii="宋体"/>
                <w:sz w:val="24"/>
                <w:szCs w:val="24"/>
              </w:rPr>
            </w:pPr>
          </w:p>
        </w:tc>
        <w:tc>
          <w:tcPr>
            <w:tcW w:w="345" w:type="dxa"/>
            <w:vMerge w:val="continue"/>
            <w:tcBorders>
              <w:top w:val="single" w:color="000000" w:sz="6" w:space="0"/>
              <w:left w:val="nil"/>
              <w:bottom w:val="single" w:color="000000" w:sz="6" w:space="0"/>
              <w:right w:val="single" w:color="000000" w:sz="6" w:space="0"/>
            </w:tcBorders>
            <w:shd w:val="clear" w:color="auto" w:fill="auto"/>
            <w:tcMar>
              <w:top w:w="0" w:type="dxa"/>
              <w:left w:w="0" w:type="dxa"/>
              <w:bottom w:w="0" w:type="dxa"/>
              <w:right w:w="101" w:type="dxa"/>
            </w:tcMar>
            <w:vAlign w:val="center"/>
          </w:tcPr>
          <w:p w14:paraId="62E5EC91">
            <w:pPr>
              <w:rPr>
                <w:rFonts w:hint="eastAsia" w:ascii="宋体"/>
                <w:sz w:val="24"/>
                <w:szCs w:val="24"/>
              </w:rPr>
            </w:pPr>
          </w:p>
        </w:tc>
        <w:tc>
          <w:tcPr>
            <w:tcW w:w="345" w:type="dxa"/>
            <w:vMerge w:val="continue"/>
            <w:tcBorders>
              <w:top w:val="single" w:color="000000" w:sz="6" w:space="0"/>
              <w:left w:val="nil"/>
              <w:bottom w:val="single" w:color="000000" w:sz="6" w:space="0"/>
              <w:right w:val="single" w:color="000000" w:sz="6" w:space="0"/>
            </w:tcBorders>
            <w:shd w:val="clear" w:color="auto" w:fill="auto"/>
            <w:tcMar>
              <w:top w:w="0" w:type="dxa"/>
              <w:left w:w="0" w:type="dxa"/>
              <w:bottom w:w="0" w:type="dxa"/>
              <w:right w:w="101" w:type="dxa"/>
            </w:tcMar>
            <w:vAlign w:val="center"/>
          </w:tcPr>
          <w:p w14:paraId="512A04E8">
            <w:pPr>
              <w:rPr>
                <w:rFonts w:hint="eastAsia" w:ascii="宋体"/>
                <w:sz w:val="24"/>
                <w:szCs w:val="24"/>
              </w:rPr>
            </w:pPr>
          </w:p>
        </w:tc>
        <w:tc>
          <w:tcPr>
            <w:tcW w:w="420" w:type="dxa"/>
            <w:vMerge w:val="continue"/>
            <w:tcBorders>
              <w:top w:val="single" w:color="000000" w:sz="6" w:space="0"/>
              <w:left w:val="nil"/>
              <w:bottom w:val="single" w:color="000000" w:sz="6" w:space="0"/>
              <w:right w:val="single" w:color="000000" w:sz="6" w:space="0"/>
            </w:tcBorders>
            <w:shd w:val="clear" w:color="auto" w:fill="auto"/>
            <w:tcMar>
              <w:top w:w="0" w:type="dxa"/>
              <w:left w:w="0" w:type="dxa"/>
              <w:bottom w:w="0" w:type="dxa"/>
              <w:right w:w="101" w:type="dxa"/>
            </w:tcMar>
            <w:vAlign w:val="center"/>
          </w:tcPr>
          <w:p w14:paraId="20D83361">
            <w:pPr>
              <w:rPr>
                <w:rFonts w:hint="eastAsia" w:ascii="宋体"/>
                <w:sz w:val="24"/>
                <w:szCs w:val="24"/>
              </w:rPr>
            </w:pPr>
          </w:p>
        </w:tc>
        <w:tc>
          <w:tcPr>
            <w:tcW w:w="315" w:type="dxa"/>
            <w:tcBorders>
              <w:top w:val="nil"/>
              <w:left w:val="nil"/>
              <w:bottom w:val="single" w:color="000000" w:sz="6" w:space="0"/>
              <w:right w:val="single" w:color="000000" w:sz="6" w:space="0"/>
            </w:tcBorders>
            <w:shd w:val="clear" w:color="auto" w:fill="auto"/>
            <w:tcMar>
              <w:top w:w="0" w:type="dxa"/>
              <w:left w:w="0" w:type="dxa"/>
              <w:bottom w:w="0" w:type="dxa"/>
              <w:right w:w="101" w:type="dxa"/>
            </w:tcMar>
            <w:vAlign w:val="center"/>
          </w:tcPr>
          <w:p w14:paraId="6D3BA015">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01" w:right="-115"/>
              <w:jc w:val="center"/>
            </w:pPr>
            <w:r>
              <w:rPr>
                <w:rFonts w:hint="eastAsia" w:ascii="黑体" w:hAnsi="宋体" w:eastAsia="黑体" w:cs="黑体"/>
                <w:i w:val="0"/>
                <w:iCs w:val="0"/>
                <w:color w:val="000000"/>
                <w:spacing w:val="0"/>
                <w:sz w:val="18"/>
                <w:szCs w:val="18"/>
              </w:rPr>
              <w:t>结果</w:t>
            </w:r>
          </w:p>
          <w:p w14:paraId="4C0052D9">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01" w:right="-115"/>
              <w:jc w:val="center"/>
            </w:pPr>
            <w:r>
              <w:rPr>
                <w:rFonts w:hint="eastAsia" w:ascii="黑体" w:hAnsi="宋体" w:eastAsia="黑体" w:cs="黑体"/>
                <w:i w:val="0"/>
                <w:iCs w:val="0"/>
                <w:color w:val="000000"/>
                <w:spacing w:val="0"/>
                <w:sz w:val="18"/>
                <w:szCs w:val="18"/>
              </w:rPr>
              <w:t>维持</w:t>
            </w:r>
          </w:p>
        </w:tc>
        <w:tc>
          <w:tcPr>
            <w:tcW w:w="345" w:type="dxa"/>
            <w:tcBorders>
              <w:top w:val="nil"/>
              <w:left w:val="nil"/>
              <w:bottom w:val="single" w:color="000000" w:sz="6" w:space="0"/>
              <w:right w:val="single" w:color="000000" w:sz="6" w:space="0"/>
            </w:tcBorders>
            <w:shd w:val="clear" w:color="auto" w:fill="auto"/>
            <w:tcMar>
              <w:top w:w="0" w:type="dxa"/>
              <w:left w:w="0" w:type="dxa"/>
              <w:bottom w:w="0" w:type="dxa"/>
              <w:right w:w="101" w:type="dxa"/>
            </w:tcMar>
            <w:vAlign w:val="center"/>
          </w:tcPr>
          <w:p w14:paraId="10D6433C">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86" w:right="-86"/>
              <w:jc w:val="center"/>
            </w:pPr>
            <w:r>
              <w:rPr>
                <w:rFonts w:hint="eastAsia" w:ascii="黑体" w:hAnsi="宋体" w:eastAsia="黑体" w:cs="黑体"/>
                <w:i w:val="0"/>
                <w:iCs w:val="0"/>
                <w:color w:val="000000"/>
                <w:spacing w:val="0"/>
                <w:sz w:val="18"/>
                <w:szCs w:val="18"/>
              </w:rPr>
              <w:t>结果</w:t>
            </w:r>
          </w:p>
          <w:p w14:paraId="2DBAEEA7">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86" w:right="-86"/>
              <w:jc w:val="center"/>
            </w:pPr>
            <w:r>
              <w:rPr>
                <w:rFonts w:hint="eastAsia" w:ascii="黑体" w:hAnsi="宋体" w:eastAsia="黑体" w:cs="黑体"/>
                <w:i w:val="0"/>
                <w:iCs w:val="0"/>
                <w:color w:val="000000"/>
                <w:spacing w:val="0"/>
                <w:sz w:val="18"/>
                <w:szCs w:val="18"/>
              </w:rPr>
              <w:t>纠正</w:t>
            </w:r>
          </w:p>
        </w:tc>
        <w:tc>
          <w:tcPr>
            <w:tcW w:w="345" w:type="dxa"/>
            <w:tcBorders>
              <w:top w:val="single" w:color="000000" w:sz="6" w:space="0"/>
              <w:left w:val="nil"/>
              <w:bottom w:val="single" w:color="000000" w:sz="6" w:space="0"/>
              <w:right w:val="single" w:color="000000" w:sz="6" w:space="0"/>
            </w:tcBorders>
            <w:shd w:val="clear" w:color="auto" w:fill="auto"/>
            <w:tcMar>
              <w:top w:w="0" w:type="dxa"/>
              <w:left w:w="0" w:type="dxa"/>
              <w:bottom w:w="0" w:type="dxa"/>
              <w:right w:w="101" w:type="dxa"/>
            </w:tcMar>
            <w:vAlign w:val="center"/>
          </w:tcPr>
          <w:p w14:paraId="0123FD1C">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15" w:right="-130"/>
              <w:jc w:val="center"/>
            </w:pPr>
            <w:r>
              <w:rPr>
                <w:rFonts w:hint="eastAsia" w:ascii="黑体" w:hAnsi="宋体" w:eastAsia="黑体" w:cs="黑体"/>
                <w:i w:val="0"/>
                <w:iCs w:val="0"/>
                <w:color w:val="000000"/>
                <w:spacing w:val="0"/>
                <w:sz w:val="18"/>
                <w:szCs w:val="18"/>
              </w:rPr>
              <w:t>其他</w:t>
            </w:r>
          </w:p>
          <w:p w14:paraId="5CB919F8">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15" w:right="-130"/>
              <w:jc w:val="center"/>
            </w:pPr>
            <w:r>
              <w:rPr>
                <w:rFonts w:hint="eastAsia" w:ascii="黑体" w:hAnsi="宋体" w:eastAsia="黑体" w:cs="黑体"/>
                <w:i w:val="0"/>
                <w:iCs w:val="0"/>
                <w:color w:val="000000"/>
                <w:spacing w:val="0"/>
                <w:sz w:val="18"/>
                <w:szCs w:val="18"/>
              </w:rPr>
              <w:t>结果</w:t>
            </w:r>
          </w:p>
        </w:tc>
        <w:tc>
          <w:tcPr>
            <w:tcW w:w="345" w:type="dxa"/>
            <w:tcBorders>
              <w:top w:val="single" w:color="000000" w:sz="6" w:space="0"/>
              <w:left w:val="nil"/>
              <w:bottom w:val="single" w:color="000000" w:sz="6" w:space="0"/>
              <w:right w:val="single" w:color="000000" w:sz="6" w:space="0"/>
            </w:tcBorders>
            <w:shd w:val="clear" w:color="auto" w:fill="auto"/>
            <w:tcMar>
              <w:top w:w="0" w:type="dxa"/>
              <w:left w:w="0" w:type="dxa"/>
              <w:bottom w:w="0" w:type="dxa"/>
              <w:right w:w="101" w:type="dxa"/>
            </w:tcMar>
            <w:vAlign w:val="center"/>
          </w:tcPr>
          <w:p w14:paraId="15298A5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58" w:right="-144"/>
              <w:jc w:val="center"/>
            </w:pPr>
            <w:r>
              <w:rPr>
                <w:rFonts w:hint="eastAsia" w:ascii="黑体" w:hAnsi="宋体" w:eastAsia="黑体" w:cs="黑体"/>
                <w:i w:val="0"/>
                <w:iCs w:val="0"/>
                <w:color w:val="000000"/>
                <w:spacing w:val="0"/>
                <w:sz w:val="18"/>
                <w:szCs w:val="18"/>
              </w:rPr>
              <w:t>尚未</w:t>
            </w:r>
          </w:p>
          <w:p w14:paraId="50BC307D">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58" w:right="-144"/>
              <w:jc w:val="center"/>
            </w:pPr>
            <w:r>
              <w:rPr>
                <w:rFonts w:hint="eastAsia" w:ascii="黑体" w:hAnsi="宋体" w:eastAsia="黑体" w:cs="黑体"/>
                <w:i w:val="0"/>
                <w:iCs w:val="0"/>
                <w:color w:val="000000"/>
                <w:spacing w:val="0"/>
                <w:sz w:val="18"/>
                <w:szCs w:val="18"/>
              </w:rPr>
              <w:t>审结</w:t>
            </w:r>
          </w:p>
        </w:tc>
        <w:tc>
          <w:tcPr>
            <w:tcW w:w="375" w:type="dxa"/>
            <w:tcBorders>
              <w:top w:val="single" w:color="000000" w:sz="6" w:space="0"/>
              <w:left w:val="nil"/>
              <w:bottom w:val="single" w:color="000000" w:sz="6" w:space="0"/>
              <w:right w:val="single" w:color="000000" w:sz="6" w:space="0"/>
            </w:tcBorders>
            <w:shd w:val="clear" w:color="auto" w:fill="auto"/>
            <w:tcMar>
              <w:top w:w="0" w:type="dxa"/>
              <w:left w:w="0" w:type="dxa"/>
              <w:bottom w:w="0" w:type="dxa"/>
              <w:right w:w="101" w:type="dxa"/>
            </w:tcMar>
            <w:vAlign w:val="center"/>
          </w:tcPr>
          <w:p w14:paraId="5EA66A92">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黑体" w:hAnsi="宋体" w:eastAsia="黑体" w:cs="黑体"/>
                <w:i w:val="0"/>
                <w:iCs w:val="0"/>
                <w:color w:val="000000"/>
                <w:spacing w:val="0"/>
                <w:sz w:val="18"/>
                <w:szCs w:val="18"/>
              </w:rPr>
              <w:t>总计</w:t>
            </w:r>
          </w:p>
        </w:tc>
        <w:tc>
          <w:tcPr>
            <w:tcW w:w="345" w:type="dxa"/>
            <w:tcBorders>
              <w:top w:val="single" w:color="000000" w:sz="6" w:space="0"/>
              <w:left w:val="nil"/>
              <w:bottom w:val="single" w:color="000000" w:sz="6" w:space="0"/>
              <w:right w:val="single" w:color="000000" w:sz="6" w:space="0"/>
            </w:tcBorders>
            <w:shd w:val="clear" w:color="auto" w:fill="auto"/>
            <w:tcMar>
              <w:top w:w="0" w:type="dxa"/>
              <w:left w:w="0" w:type="dxa"/>
              <w:bottom w:w="0" w:type="dxa"/>
              <w:right w:w="101" w:type="dxa"/>
            </w:tcMar>
            <w:vAlign w:val="center"/>
          </w:tcPr>
          <w:p w14:paraId="5B96B109">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01" w:right="-72"/>
              <w:jc w:val="center"/>
            </w:pPr>
            <w:r>
              <w:rPr>
                <w:rFonts w:hint="eastAsia" w:ascii="黑体" w:hAnsi="宋体" w:eastAsia="黑体" w:cs="黑体"/>
                <w:i w:val="0"/>
                <w:iCs w:val="0"/>
                <w:color w:val="000000"/>
                <w:spacing w:val="0"/>
                <w:sz w:val="18"/>
                <w:szCs w:val="18"/>
              </w:rPr>
              <w:t>结果</w:t>
            </w:r>
          </w:p>
          <w:p w14:paraId="3F1EC0D8">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01" w:right="-72"/>
              <w:jc w:val="center"/>
            </w:pPr>
            <w:r>
              <w:rPr>
                <w:rFonts w:hint="eastAsia" w:ascii="黑体" w:hAnsi="宋体" w:eastAsia="黑体" w:cs="黑体"/>
                <w:i w:val="0"/>
                <w:iCs w:val="0"/>
                <w:color w:val="000000"/>
                <w:spacing w:val="0"/>
                <w:sz w:val="18"/>
                <w:szCs w:val="18"/>
              </w:rPr>
              <w:t>维持</w:t>
            </w:r>
          </w:p>
        </w:tc>
        <w:tc>
          <w:tcPr>
            <w:tcW w:w="345" w:type="dxa"/>
            <w:tcBorders>
              <w:top w:val="single" w:color="000000" w:sz="6" w:space="0"/>
              <w:left w:val="nil"/>
              <w:bottom w:val="single" w:color="000000" w:sz="6" w:space="0"/>
              <w:right w:val="single" w:color="000000" w:sz="6" w:space="0"/>
            </w:tcBorders>
            <w:shd w:val="clear" w:color="auto" w:fill="auto"/>
            <w:tcMar>
              <w:top w:w="0" w:type="dxa"/>
              <w:left w:w="0" w:type="dxa"/>
              <w:bottom w:w="0" w:type="dxa"/>
              <w:right w:w="101" w:type="dxa"/>
            </w:tcMar>
            <w:vAlign w:val="center"/>
          </w:tcPr>
          <w:p w14:paraId="0EC9525F">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30" w:right="-115"/>
              <w:jc w:val="center"/>
            </w:pPr>
            <w:r>
              <w:rPr>
                <w:rFonts w:hint="eastAsia" w:ascii="黑体" w:hAnsi="宋体" w:eastAsia="黑体" w:cs="黑体"/>
                <w:i w:val="0"/>
                <w:iCs w:val="0"/>
                <w:color w:val="000000"/>
                <w:spacing w:val="0"/>
                <w:sz w:val="18"/>
                <w:szCs w:val="18"/>
              </w:rPr>
              <w:t>结果</w:t>
            </w:r>
          </w:p>
          <w:p w14:paraId="40884A05">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30" w:right="-115"/>
              <w:jc w:val="center"/>
            </w:pPr>
            <w:r>
              <w:rPr>
                <w:rFonts w:hint="eastAsia" w:ascii="黑体" w:hAnsi="宋体" w:eastAsia="黑体" w:cs="黑体"/>
                <w:i w:val="0"/>
                <w:iCs w:val="0"/>
                <w:color w:val="000000"/>
                <w:spacing w:val="0"/>
                <w:sz w:val="18"/>
                <w:szCs w:val="18"/>
              </w:rPr>
              <w:t>纠正</w:t>
            </w:r>
          </w:p>
        </w:tc>
        <w:tc>
          <w:tcPr>
            <w:tcW w:w="345" w:type="dxa"/>
            <w:tcBorders>
              <w:top w:val="single" w:color="000000" w:sz="6" w:space="0"/>
              <w:left w:val="nil"/>
              <w:bottom w:val="single" w:color="000000" w:sz="6" w:space="0"/>
              <w:right w:val="single" w:color="000000" w:sz="6" w:space="0"/>
            </w:tcBorders>
            <w:shd w:val="clear" w:color="auto" w:fill="auto"/>
            <w:tcMar>
              <w:top w:w="0" w:type="dxa"/>
              <w:left w:w="0" w:type="dxa"/>
              <w:bottom w:w="0" w:type="dxa"/>
              <w:right w:w="101" w:type="dxa"/>
            </w:tcMar>
            <w:vAlign w:val="center"/>
          </w:tcPr>
          <w:p w14:paraId="1DB1AA42">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87" w:right="-130"/>
              <w:jc w:val="center"/>
            </w:pPr>
            <w:r>
              <w:rPr>
                <w:rFonts w:hint="eastAsia" w:ascii="黑体" w:hAnsi="宋体" w:eastAsia="黑体" w:cs="黑体"/>
                <w:i w:val="0"/>
                <w:iCs w:val="0"/>
                <w:color w:val="000000"/>
                <w:spacing w:val="0"/>
                <w:sz w:val="18"/>
                <w:szCs w:val="18"/>
              </w:rPr>
              <w:t>其他</w:t>
            </w:r>
          </w:p>
          <w:p w14:paraId="513B0694">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87" w:right="-130"/>
              <w:jc w:val="center"/>
            </w:pPr>
            <w:r>
              <w:rPr>
                <w:rFonts w:hint="eastAsia" w:ascii="黑体" w:hAnsi="宋体" w:eastAsia="黑体" w:cs="黑体"/>
                <w:i w:val="0"/>
                <w:iCs w:val="0"/>
                <w:color w:val="000000"/>
                <w:spacing w:val="0"/>
                <w:sz w:val="18"/>
                <w:szCs w:val="18"/>
              </w:rPr>
              <w:t>结果</w:t>
            </w:r>
          </w:p>
        </w:tc>
        <w:tc>
          <w:tcPr>
            <w:tcW w:w="345" w:type="dxa"/>
            <w:tcBorders>
              <w:top w:val="single" w:color="000000" w:sz="6" w:space="0"/>
              <w:left w:val="nil"/>
              <w:bottom w:val="single" w:color="000000" w:sz="6" w:space="0"/>
              <w:right w:val="single" w:color="000000" w:sz="6" w:space="0"/>
            </w:tcBorders>
            <w:shd w:val="clear" w:color="auto" w:fill="auto"/>
            <w:tcMar>
              <w:top w:w="0" w:type="dxa"/>
              <w:left w:w="0" w:type="dxa"/>
              <w:bottom w:w="0" w:type="dxa"/>
              <w:right w:w="101" w:type="dxa"/>
            </w:tcMar>
            <w:vAlign w:val="center"/>
          </w:tcPr>
          <w:p w14:paraId="4DA92919">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58" w:right="-101"/>
              <w:jc w:val="center"/>
            </w:pPr>
            <w:r>
              <w:rPr>
                <w:rFonts w:hint="eastAsia" w:ascii="黑体" w:hAnsi="宋体" w:eastAsia="黑体" w:cs="黑体"/>
                <w:i w:val="0"/>
                <w:iCs w:val="0"/>
                <w:color w:val="000000"/>
                <w:spacing w:val="0"/>
                <w:sz w:val="18"/>
                <w:szCs w:val="18"/>
              </w:rPr>
              <w:t>尚未</w:t>
            </w:r>
          </w:p>
          <w:p w14:paraId="66A2D792">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58" w:right="-101"/>
              <w:jc w:val="center"/>
            </w:pPr>
            <w:r>
              <w:rPr>
                <w:rFonts w:hint="eastAsia" w:ascii="黑体" w:hAnsi="宋体" w:eastAsia="黑体" w:cs="黑体"/>
                <w:i w:val="0"/>
                <w:iCs w:val="0"/>
                <w:color w:val="000000"/>
                <w:spacing w:val="0"/>
                <w:sz w:val="18"/>
                <w:szCs w:val="18"/>
              </w:rPr>
              <w:t>审结</w:t>
            </w:r>
          </w:p>
        </w:tc>
        <w:tc>
          <w:tcPr>
            <w:tcW w:w="375" w:type="dxa"/>
            <w:tcBorders>
              <w:top w:val="single" w:color="000000" w:sz="6" w:space="0"/>
              <w:left w:val="nil"/>
              <w:bottom w:val="single" w:color="000000" w:sz="6" w:space="0"/>
              <w:right w:val="single" w:color="000000" w:sz="6" w:space="0"/>
            </w:tcBorders>
            <w:shd w:val="clear" w:color="auto" w:fill="auto"/>
            <w:tcMar>
              <w:top w:w="0" w:type="dxa"/>
              <w:left w:w="0" w:type="dxa"/>
              <w:bottom w:w="0" w:type="dxa"/>
              <w:right w:w="101" w:type="dxa"/>
            </w:tcMar>
            <w:vAlign w:val="center"/>
          </w:tcPr>
          <w:p w14:paraId="0493F878">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黑体" w:hAnsi="宋体" w:eastAsia="黑体" w:cs="黑体"/>
                <w:i w:val="0"/>
                <w:iCs w:val="0"/>
                <w:color w:val="000000"/>
                <w:spacing w:val="0"/>
                <w:sz w:val="18"/>
                <w:szCs w:val="18"/>
              </w:rPr>
              <w:t>总计</w:t>
            </w:r>
          </w:p>
        </w:tc>
      </w:tr>
      <w:tr w14:paraId="4F5BA1C7">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330" w:type="dxa"/>
            <w:tcBorders>
              <w:top w:val="nil"/>
              <w:left w:val="single" w:color="000000" w:sz="6" w:space="0"/>
              <w:bottom w:val="single" w:color="000000" w:sz="6" w:space="0"/>
              <w:right w:val="single" w:color="000000" w:sz="6" w:space="0"/>
            </w:tcBorders>
            <w:shd w:val="clear" w:color="auto" w:fill="auto"/>
            <w:tcMar>
              <w:top w:w="0" w:type="dxa"/>
              <w:left w:w="101" w:type="dxa"/>
              <w:bottom w:w="0" w:type="dxa"/>
              <w:right w:w="101" w:type="dxa"/>
            </w:tcMar>
            <w:vAlign w:val="center"/>
          </w:tcPr>
          <w:p w14:paraId="759B3FB1">
            <w:pPr>
              <w:rPr>
                <w:rFonts w:hint="eastAsia"/>
                <w:lang w:eastAsia="zh-CN"/>
              </w:rPr>
            </w:pPr>
            <w:r>
              <w:rPr>
                <w:rFonts w:hint="eastAsia"/>
                <w:lang w:val="en-US" w:eastAsia="zh-CN"/>
              </w:rPr>
              <w:t>1</w:t>
            </w:r>
          </w:p>
        </w:tc>
        <w:tc>
          <w:tcPr>
            <w:tcW w:w="345" w:type="dxa"/>
            <w:tcBorders>
              <w:top w:val="nil"/>
              <w:left w:val="nil"/>
              <w:bottom w:val="single" w:color="000000" w:sz="6" w:space="0"/>
              <w:right w:val="single" w:color="000000" w:sz="6" w:space="0"/>
            </w:tcBorders>
            <w:shd w:val="clear" w:color="auto" w:fill="auto"/>
            <w:tcMar>
              <w:top w:w="0" w:type="dxa"/>
              <w:left w:w="0" w:type="dxa"/>
              <w:bottom w:w="0" w:type="dxa"/>
              <w:right w:w="101" w:type="dxa"/>
            </w:tcMar>
            <w:vAlign w:val="center"/>
          </w:tcPr>
          <w:p w14:paraId="2B804F25">
            <w:pPr>
              <w:rPr>
                <w:rFonts w:hint="eastAsia"/>
                <w:lang w:eastAsia="zh-CN"/>
              </w:rPr>
            </w:pPr>
            <w:r>
              <w:rPr>
                <w:rFonts w:hint="eastAsia"/>
                <w:lang w:val="en-US" w:eastAsia="zh-CN"/>
              </w:rPr>
              <w:t>0</w:t>
            </w:r>
          </w:p>
        </w:tc>
        <w:tc>
          <w:tcPr>
            <w:tcW w:w="345" w:type="dxa"/>
            <w:tcBorders>
              <w:top w:val="nil"/>
              <w:left w:val="nil"/>
              <w:bottom w:val="single" w:color="000000" w:sz="6" w:space="0"/>
              <w:right w:val="single" w:color="000000" w:sz="6" w:space="0"/>
            </w:tcBorders>
            <w:shd w:val="clear" w:color="auto" w:fill="auto"/>
            <w:tcMar>
              <w:top w:w="0" w:type="dxa"/>
              <w:left w:w="0" w:type="dxa"/>
              <w:bottom w:w="0" w:type="dxa"/>
              <w:right w:w="101" w:type="dxa"/>
            </w:tcMar>
            <w:vAlign w:val="center"/>
          </w:tcPr>
          <w:p w14:paraId="09716792">
            <w:pPr>
              <w:rPr>
                <w:rFonts w:hint="default"/>
                <w:lang w:val="en-US" w:eastAsia="zh-CN"/>
              </w:rPr>
            </w:pPr>
            <w:r>
              <w:rPr>
                <w:rFonts w:hint="eastAsia"/>
                <w:lang w:val="en-US" w:eastAsia="zh-CN"/>
              </w:rPr>
              <w:t>0</w:t>
            </w:r>
          </w:p>
        </w:tc>
        <w:tc>
          <w:tcPr>
            <w:tcW w:w="345" w:type="dxa"/>
            <w:tcBorders>
              <w:top w:val="nil"/>
              <w:left w:val="nil"/>
              <w:bottom w:val="single" w:color="000000" w:sz="6" w:space="0"/>
              <w:right w:val="single" w:color="000000" w:sz="6" w:space="0"/>
            </w:tcBorders>
            <w:shd w:val="clear" w:color="auto" w:fill="auto"/>
            <w:tcMar>
              <w:top w:w="0" w:type="dxa"/>
              <w:left w:w="0" w:type="dxa"/>
              <w:bottom w:w="0" w:type="dxa"/>
              <w:right w:w="101" w:type="dxa"/>
            </w:tcMar>
            <w:vAlign w:val="center"/>
          </w:tcPr>
          <w:p w14:paraId="34DEC988">
            <w:r>
              <w:rPr>
                <w:rFonts w:hint="default"/>
              </w:rPr>
              <w:t>0</w:t>
            </w:r>
          </w:p>
        </w:tc>
        <w:tc>
          <w:tcPr>
            <w:tcW w:w="420" w:type="dxa"/>
            <w:tcBorders>
              <w:top w:val="nil"/>
              <w:left w:val="nil"/>
              <w:bottom w:val="single" w:color="000000" w:sz="6" w:space="0"/>
              <w:right w:val="single" w:color="000000" w:sz="6" w:space="0"/>
            </w:tcBorders>
            <w:shd w:val="clear" w:color="auto" w:fill="auto"/>
            <w:tcMar>
              <w:top w:w="0" w:type="dxa"/>
              <w:left w:w="0" w:type="dxa"/>
              <w:bottom w:w="0" w:type="dxa"/>
              <w:right w:w="101" w:type="dxa"/>
            </w:tcMar>
            <w:vAlign w:val="center"/>
          </w:tcPr>
          <w:p w14:paraId="5C7685C0">
            <w:pPr>
              <w:rPr>
                <w:rFonts w:hint="eastAsia" w:eastAsiaTheme="minorEastAsia"/>
                <w:lang w:eastAsia="zh-CN"/>
              </w:rPr>
            </w:pPr>
            <w:r>
              <w:rPr>
                <w:rFonts w:hint="eastAsia"/>
                <w:lang w:val="en-US" w:eastAsia="zh-CN"/>
              </w:rPr>
              <w:t>1</w:t>
            </w:r>
          </w:p>
        </w:tc>
        <w:tc>
          <w:tcPr>
            <w:tcW w:w="315" w:type="dxa"/>
            <w:tcBorders>
              <w:top w:val="nil"/>
              <w:left w:val="nil"/>
              <w:bottom w:val="single" w:color="000000" w:sz="6" w:space="0"/>
              <w:right w:val="single" w:color="000000" w:sz="6" w:space="0"/>
            </w:tcBorders>
            <w:shd w:val="clear" w:color="auto" w:fill="auto"/>
            <w:tcMar>
              <w:top w:w="0" w:type="dxa"/>
              <w:left w:w="0" w:type="dxa"/>
              <w:bottom w:w="0" w:type="dxa"/>
              <w:right w:w="101" w:type="dxa"/>
            </w:tcMar>
            <w:vAlign w:val="center"/>
          </w:tcPr>
          <w:p w14:paraId="7CDF0667">
            <w:pPr>
              <w:rPr>
                <w:rFonts w:hint="eastAsia"/>
                <w:lang w:eastAsia="zh-CN"/>
              </w:rPr>
            </w:pPr>
            <w:r>
              <w:rPr>
                <w:rFonts w:hint="eastAsia"/>
                <w:lang w:val="en-US" w:eastAsia="zh-CN"/>
              </w:rPr>
              <w:t>1</w:t>
            </w:r>
          </w:p>
        </w:tc>
        <w:tc>
          <w:tcPr>
            <w:tcW w:w="345" w:type="dxa"/>
            <w:tcBorders>
              <w:top w:val="nil"/>
              <w:left w:val="nil"/>
              <w:bottom w:val="single" w:color="000000" w:sz="6" w:space="0"/>
              <w:right w:val="single" w:color="000000" w:sz="6" w:space="0"/>
            </w:tcBorders>
            <w:shd w:val="clear" w:color="auto" w:fill="auto"/>
            <w:tcMar>
              <w:top w:w="0" w:type="dxa"/>
              <w:left w:w="0" w:type="dxa"/>
              <w:bottom w:w="0" w:type="dxa"/>
              <w:right w:w="101" w:type="dxa"/>
            </w:tcMar>
            <w:vAlign w:val="center"/>
          </w:tcPr>
          <w:p w14:paraId="65AE94EC">
            <w:r>
              <w:rPr>
                <w:rFonts w:hint="default"/>
              </w:rPr>
              <w:t>0</w:t>
            </w:r>
          </w:p>
        </w:tc>
        <w:tc>
          <w:tcPr>
            <w:tcW w:w="345" w:type="dxa"/>
            <w:tcBorders>
              <w:top w:val="nil"/>
              <w:left w:val="nil"/>
              <w:bottom w:val="single" w:color="000000" w:sz="6" w:space="0"/>
              <w:right w:val="single" w:color="000000" w:sz="6" w:space="0"/>
            </w:tcBorders>
            <w:shd w:val="clear" w:color="auto" w:fill="FFFFFF"/>
            <w:tcMar>
              <w:top w:w="0" w:type="dxa"/>
              <w:left w:w="0" w:type="dxa"/>
              <w:bottom w:w="0" w:type="dxa"/>
              <w:right w:w="101" w:type="dxa"/>
            </w:tcMar>
            <w:vAlign w:val="center"/>
          </w:tcPr>
          <w:p w14:paraId="21A59DFD">
            <w:r>
              <w:rPr>
                <w:rFonts w:hint="default"/>
              </w:rPr>
              <w:t>0</w:t>
            </w:r>
          </w:p>
        </w:tc>
        <w:tc>
          <w:tcPr>
            <w:tcW w:w="345" w:type="dxa"/>
            <w:tcBorders>
              <w:top w:val="nil"/>
              <w:left w:val="nil"/>
              <w:bottom w:val="single" w:color="000000" w:sz="6" w:space="0"/>
              <w:right w:val="single" w:color="000000" w:sz="6" w:space="0"/>
            </w:tcBorders>
            <w:shd w:val="clear" w:color="auto" w:fill="FFFFFF"/>
            <w:tcMar>
              <w:top w:w="0" w:type="dxa"/>
              <w:left w:w="0" w:type="dxa"/>
              <w:bottom w:w="0" w:type="dxa"/>
              <w:right w:w="101" w:type="dxa"/>
            </w:tcMar>
            <w:vAlign w:val="center"/>
          </w:tcPr>
          <w:p w14:paraId="44E9103F">
            <w:r>
              <w:rPr>
                <w:rFonts w:hint="default"/>
              </w:rPr>
              <w:t>0</w:t>
            </w:r>
          </w:p>
        </w:tc>
        <w:tc>
          <w:tcPr>
            <w:tcW w:w="375" w:type="dxa"/>
            <w:tcBorders>
              <w:top w:val="nil"/>
              <w:left w:val="nil"/>
              <w:bottom w:val="single" w:color="000000" w:sz="6" w:space="0"/>
              <w:right w:val="single" w:color="000000" w:sz="6" w:space="0"/>
            </w:tcBorders>
            <w:shd w:val="clear" w:color="auto" w:fill="FFFFFF"/>
            <w:tcMar>
              <w:top w:w="0" w:type="dxa"/>
              <w:left w:w="0" w:type="dxa"/>
              <w:bottom w:w="0" w:type="dxa"/>
              <w:right w:w="101" w:type="dxa"/>
            </w:tcMar>
            <w:vAlign w:val="center"/>
          </w:tcPr>
          <w:p w14:paraId="30695F32">
            <w:pPr>
              <w:rPr>
                <w:rFonts w:hint="eastAsia"/>
                <w:lang w:eastAsia="zh-CN"/>
              </w:rPr>
            </w:pPr>
            <w:r>
              <w:rPr>
                <w:rFonts w:hint="eastAsia"/>
                <w:lang w:val="en-US" w:eastAsia="zh-CN"/>
              </w:rPr>
              <w:t>1</w:t>
            </w:r>
          </w:p>
        </w:tc>
        <w:tc>
          <w:tcPr>
            <w:tcW w:w="345" w:type="dxa"/>
            <w:tcBorders>
              <w:top w:val="nil"/>
              <w:left w:val="nil"/>
              <w:bottom w:val="single" w:color="000000" w:sz="6" w:space="0"/>
              <w:right w:val="single" w:color="000000" w:sz="6" w:space="0"/>
            </w:tcBorders>
            <w:shd w:val="clear" w:color="auto" w:fill="auto"/>
            <w:tcMar>
              <w:top w:w="0" w:type="dxa"/>
              <w:left w:w="0" w:type="dxa"/>
              <w:bottom w:w="0" w:type="dxa"/>
              <w:right w:w="101" w:type="dxa"/>
            </w:tcMar>
            <w:vAlign w:val="center"/>
          </w:tcPr>
          <w:p w14:paraId="56F1DA0B">
            <w:r>
              <w:rPr>
                <w:rFonts w:hint="default"/>
              </w:rPr>
              <w:t>0</w:t>
            </w:r>
          </w:p>
        </w:tc>
        <w:tc>
          <w:tcPr>
            <w:tcW w:w="345" w:type="dxa"/>
            <w:tcBorders>
              <w:top w:val="nil"/>
              <w:left w:val="nil"/>
              <w:bottom w:val="single" w:color="000000" w:sz="6" w:space="0"/>
              <w:right w:val="single" w:color="000000" w:sz="6" w:space="0"/>
            </w:tcBorders>
            <w:shd w:val="clear" w:color="auto" w:fill="auto"/>
            <w:tcMar>
              <w:top w:w="0" w:type="dxa"/>
              <w:left w:w="0" w:type="dxa"/>
              <w:bottom w:w="0" w:type="dxa"/>
              <w:right w:w="101" w:type="dxa"/>
            </w:tcMar>
            <w:vAlign w:val="center"/>
          </w:tcPr>
          <w:p w14:paraId="40C90B64">
            <w:r>
              <w:rPr>
                <w:rFonts w:hint="default"/>
              </w:rPr>
              <w:t>0</w:t>
            </w:r>
          </w:p>
        </w:tc>
        <w:tc>
          <w:tcPr>
            <w:tcW w:w="345" w:type="dxa"/>
            <w:tcBorders>
              <w:top w:val="nil"/>
              <w:left w:val="nil"/>
              <w:bottom w:val="single" w:color="000000" w:sz="6" w:space="0"/>
              <w:right w:val="single" w:color="000000" w:sz="6" w:space="0"/>
            </w:tcBorders>
            <w:shd w:val="clear" w:color="auto" w:fill="auto"/>
            <w:tcMar>
              <w:top w:w="0" w:type="dxa"/>
              <w:left w:w="0" w:type="dxa"/>
              <w:bottom w:w="0" w:type="dxa"/>
              <w:right w:w="101" w:type="dxa"/>
            </w:tcMar>
            <w:vAlign w:val="center"/>
          </w:tcPr>
          <w:p w14:paraId="5DAD545F">
            <w:r>
              <w:rPr>
                <w:rFonts w:hint="default"/>
              </w:rPr>
              <w:t>0</w:t>
            </w:r>
          </w:p>
        </w:tc>
        <w:tc>
          <w:tcPr>
            <w:tcW w:w="345" w:type="dxa"/>
            <w:tcBorders>
              <w:top w:val="nil"/>
              <w:left w:val="nil"/>
              <w:bottom w:val="single" w:color="000000" w:sz="6" w:space="0"/>
              <w:right w:val="single" w:color="000000" w:sz="6" w:space="0"/>
            </w:tcBorders>
            <w:shd w:val="clear" w:color="auto" w:fill="auto"/>
            <w:tcMar>
              <w:top w:w="0" w:type="dxa"/>
              <w:left w:w="0" w:type="dxa"/>
              <w:bottom w:w="0" w:type="dxa"/>
              <w:right w:w="101" w:type="dxa"/>
            </w:tcMar>
            <w:vAlign w:val="center"/>
          </w:tcPr>
          <w:p w14:paraId="6BE4BEDF">
            <w:r>
              <w:rPr>
                <w:rFonts w:hint="default"/>
              </w:rPr>
              <w:t>0</w:t>
            </w:r>
          </w:p>
        </w:tc>
        <w:tc>
          <w:tcPr>
            <w:tcW w:w="375" w:type="dxa"/>
            <w:tcBorders>
              <w:top w:val="nil"/>
              <w:left w:val="nil"/>
              <w:bottom w:val="single" w:color="000000" w:sz="6" w:space="0"/>
              <w:right w:val="single" w:color="000000" w:sz="6" w:space="0"/>
            </w:tcBorders>
            <w:shd w:val="clear" w:color="auto" w:fill="auto"/>
            <w:tcMar>
              <w:top w:w="0" w:type="dxa"/>
              <w:left w:w="0" w:type="dxa"/>
              <w:bottom w:w="0" w:type="dxa"/>
              <w:right w:w="101" w:type="dxa"/>
            </w:tcMar>
            <w:vAlign w:val="center"/>
          </w:tcPr>
          <w:p w14:paraId="3C10F540">
            <w:r>
              <w:rPr>
                <w:rFonts w:hint="default"/>
              </w:rPr>
              <w:t>0</w:t>
            </w:r>
          </w:p>
        </w:tc>
      </w:tr>
    </w:tbl>
    <w:p w14:paraId="3C07B065">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firstLine="605"/>
        <w:jc w:val="both"/>
        <w:textAlignment w:val="auto"/>
      </w:pPr>
      <w:r>
        <w:rPr>
          <w:color w:val="000000"/>
          <w:spacing w:val="0"/>
        </w:rPr>
        <w:t> </w:t>
      </w:r>
      <w:r>
        <w:rPr>
          <w:rFonts w:hint="eastAsia" w:ascii="黑体" w:hAnsi="宋体" w:eastAsia="黑体" w:cs="黑体"/>
          <w:b w:val="0"/>
          <w:bCs w:val="0"/>
          <w:i w:val="0"/>
          <w:iCs w:val="0"/>
          <w:color w:val="000000"/>
          <w:spacing w:val="0"/>
          <w:sz w:val="30"/>
          <w:szCs w:val="30"/>
        </w:rPr>
        <w:t>五、存在的主要问题及改进情况</w:t>
      </w:r>
    </w:p>
    <w:p w14:paraId="05AD2C26">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firstLine="418"/>
        <w:jc w:val="both"/>
        <w:textAlignment w:val="auto"/>
      </w:pPr>
      <w:r>
        <w:rPr>
          <w:rFonts w:ascii="华文楷体" w:hAnsi="华文楷体" w:eastAsia="华文楷体" w:cs="华文楷体"/>
          <w:b w:val="0"/>
          <w:bCs w:val="0"/>
          <w:color w:val="000000"/>
          <w:sz w:val="30"/>
          <w:szCs w:val="30"/>
          <w:shd w:val="clear" w:fill="FFFFFF"/>
        </w:rPr>
        <w:t>（一）工作中存在的主要困难和问题</w:t>
      </w:r>
    </w:p>
    <w:p w14:paraId="0DCB168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firstLine="634"/>
        <w:jc w:val="left"/>
        <w:textAlignment w:val="auto"/>
      </w:pPr>
      <w:r>
        <w:rPr>
          <w:rFonts w:hint="eastAsia" w:ascii="仿宋_GB2312" w:eastAsia="仿宋_GB2312" w:cs="仿宋_GB2312"/>
          <w:b w:val="0"/>
          <w:bCs w:val="0"/>
          <w:i w:val="0"/>
          <w:iCs w:val="0"/>
          <w:color w:val="000000"/>
          <w:spacing w:val="0"/>
          <w:sz w:val="30"/>
          <w:szCs w:val="30"/>
          <w:shd w:val="clear" w:fill="FFFFFF"/>
        </w:rPr>
        <w:t>202</w:t>
      </w:r>
      <w:r>
        <w:rPr>
          <w:rFonts w:hint="eastAsia" w:ascii="仿宋_GB2312" w:eastAsia="仿宋_GB2312" w:cs="仿宋_GB2312"/>
          <w:b w:val="0"/>
          <w:bCs w:val="0"/>
          <w:i w:val="0"/>
          <w:iCs w:val="0"/>
          <w:color w:val="000000"/>
          <w:spacing w:val="0"/>
          <w:sz w:val="30"/>
          <w:szCs w:val="30"/>
          <w:shd w:val="clear" w:fill="FFFFFF"/>
          <w:lang w:val="en-US" w:eastAsia="zh-CN"/>
        </w:rPr>
        <w:t>4</w:t>
      </w:r>
      <w:r>
        <w:rPr>
          <w:rFonts w:hint="eastAsia" w:ascii="仿宋_GB2312" w:eastAsia="仿宋_GB2312" w:cs="仿宋_GB2312"/>
          <w:b w:val="0"/>
          <w:bCs w:val="0"/>
          <w:i w:val="0"/>
          <w:iCs w:val="0"/>
          <w:color w:val="000000"/>
          <w:spacing w:val="0"/>
          <w:sz w:val="30"/>
          <w:szCs w:val="30"/>
          <w:shd w:val="clear" w:fill="FFFFFF"/>
        </w:rPr>
        <w:t>年，我街道政府信息公开工作虽然取得较好成效，但仍然存在不少困难和问题。主要表现在：一是有关部门对政务公开工作的认识不足，各部门办结业务后通常只在公示栏公开，不能及时主动在政府门户网站同步公开，对主动公开工作积极性不高；二是部分干部在推动政务公开工作方面缺乏动力和积极性；三是广大群众不太了解网上公开信息的查询方式，大多停留在便民服务中心信息查阅点和各</w:t>
      </w:r>
      <w:r>
        <w:rPr>
          <w:rFonts w:hint="eastAsia" w:ascii="仿宋_GB2312" w:eastAsia="仿宋_GB2312" w:cs="仿宋_GB2312"/>
          <w:b w:val="0"/>
          <w:bCs w:val="0"/>
          <w:i w:val="0"/>
          <w:iCs w:val="0"/>
          <w:color w:val="000000"/>
          <w:spacing w:val="0"/>
          <w:sz w:val="30"/>
          <w:szCs w:val="30"/>
          <w:shd w:val="clear" w:fill="FFFFFF"/>
          <w:lang w:val="en-US" w:eastAsia="zh-CN"/>
        </w:rPr>
        <w:t>社区</w:t>
      </w:r>
      <w:r>
        <w:rPr>
          <w:rFonts w:hint="eastAsia" w:ascii="仿宋_GB2312" w:eastAsia="仿宋_GB2312" w:cs="仿宋_GB2312"/>
          <w:b w:val="0"/>
          <w:bCs w:val="0"/>
          <w:i w:val="0"/>
          <w:iCs w:val="0"/>
          <w:color w:val="000000"/>
          <w:spacing w:val="0"/>
          <w:sz w:val="30"/>
          <w:szCs w:val="30"/>
          <w:shd w:val="clear" w:fill="FFFFFF"/>
        </w:rPr>
        <w:t>公告栏等，互联网的便利性没有在乡村发挥应有的作用。</w:t>
      </w:r>
    </w:p>
    <w:p w14:paraId="4C64FD3C">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firstLine="418"/>
        <w:jc w:val="both"/>
        <w:textAlignment w:val="auto"/>
        <w:rPr>
          <w:rFonts w:hint="eastAsia" w:ascii="华文楷体" w:hAnsi="华文楷体" w:eastAsia="华文楷体" w:cs="华文楷体"/>
          <w:b w:val="0"/>
          <w:bCs w:val="0"/>
          <w:color w:val="000000"/>
          <w:sz w:val="30"/>
          <w:szCs w:val="30"/>
          <w:shd w:val="clear" w:fill="FFFFFF"/>
        </w:rPr>
      </w:pPr>
      <w:r>
        <w:rPr>
          <w:rFonts w:hint="eastAsia" w:ascii="华文楷体" w:hAnsi="华文楷体" w:eastAsia="华文楷体" w:cs="华文楷体"/>
          <w:b w:val="0"/>
          <w:bCs w:val="0"/>
          <w:color w:val="000000"/>
          <w:sz w:val="30"/>
          <w:szCs w:val="30"/>
          <w:shd w:val="clear" w:fill="FFFFFF"/>
        </w:rPr>
        <w:t>（二）具体解决办法和改进措施</w:t>
      </w:r>
    </w:p>
    <w:p w14:paraId="26F9E291">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firstLine="600" w:firstLineChars="200"/>
        <w:jc w:val="both"/>
        <w:textAlignment w:val="auto"/>
        <w:rPr>
          <w:rFonts w:hint="eastAsia" w:ascii="仿宋_GB2312" w:eastAsia="仿宋_GB2312" w:cs="仿宋_GB2312"/>
          <w:b w:val="0"/>
          <w:bCs w:val="0"/>
          <w:i w:val="0"/>
          <w:iCs w:val="0"/>
          <w:color w:val="000000"/>
          <w:spacing w:val="0"/>
          <w:sz w:val="30"/>
          <w:szCs w:val="30"/>
        </w:rPr>
      </w:pPr>
      <w:r>
        <w:rPr>
          <w:rFonts w:hint="eastAsia" w:ascii="仿宋_GB2312" w:eastAsia="仿宋_GB2312" w:cs="仿宋_GB2312"/>
          <w:b w:val="0"/>
          <w:bCs w:val="0"/>
          <w:i w:val="0"/>
          <w:iCs w:val="0"/>
          <w:color w:val="000000"/>
          <w:spacing w:val="0"/>
          <w:sz w:val="30"/>
          <w:szCs w:val="30"/>
        </w:rPr>
        <w:t>根据市政府对政府信息公开工作的安排部署及要求，我们将进一步加大政府信息公开工作的力度。主要做好以下几个方面的工作：</w:t>
      </w:r>
    </w:p>
    <w:p w14:paraId="25153BD3">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firstLine="634"/>
        <w:jc w:val="left"/>
        <w:textAlignment w:val="auto"/>
      </w:pPr>
      <w:r>
        <w:rPr>
          <w:rFonts w:hint="eastAsia" w:ascii="仿宋_GB2312" w:eastAsia="仿宋_GB2312" w:cs="仿宋_GB2312"/>
          <w:b w:val="0"/>
          <w:bCs w:val="0"/>
          <w:i w:val="0"/>
          <w:iCs w:val="0"/>
          <w:color w:val="000000"/>
          <w:spacing w:val="0"/>
          <w:sz w:val="30"/>
          <w:szCs w:val="30"/>
        </w:rPr>
        <w:t>一是进一步加强领导。切实提高政务信息公开工作认识，加强组织领导，强化工作机构职能，形成“主要领导亲自抓、分管领导具体抓、专门部门负责、专人落实”的工作体系，及时梳理、收集信息发布，确保平台中栏目得到及时更新。</w:t>
      </w:r>
    </w:p>
    <w:p w14:paraId="510370C7">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firstLine="634"/>
        <w:jc w:val="left"/>
        <w:textAlignment w:val="auto"/>
      </w:pPr>
      <w:r>
        <w:rPr>
          <w:rFonts w:hint="eastAsia" w:ascii="仿宋_GB2312" w:eastAsia="仿宋_GB2312" w:cs="仿宋_GB2312"/>
          <w:b w:val="0"/>
          <w:bCs w:val="0"/>
          <w:i w:val="0"/>
          <w:iCs w:val="0"/>
          <w:color w:val="000000"/>
          <w:spacing w:val="0"/>
          <w:sz w:val="30"/>
          <w:szCs w:val="30"/>
        </w:rPr>
        <w:t>二是加强对政务信息公开队伍建设，着力提高机关工作人员信息公开意识，开展多种形式的交流，开阔工作人员视野，加强信息内容提炼和升华。</w:t>
      </w:r>
    </w:p>
    <w:p w14:paraId="01175551">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firstLine="634"/>
        <w:jc w:val="left"/>
        <w:textAlignment w:val="auto"/>
      </w:pPr>
      <w:r>
        <w:rPr>
          <w:rFonts w:hint="eastAsia" w:ascii="仿宋_GB2312" w:eastAsia="仿宋_GB2312" w:cs="仿宋_GB2312"/>
          <w:b w:val="0"/>
          <w:bCs w:val="0"/>
          <w:i w:val="0"/>
          <w:iCs w:val="0"/>
          <w:color w:val="000000"/>
          <w:spacing w:val="0"/>
          <w:sz w:val="30"/>
          <w:szCs w:val="30"/>
        </w:rPr>
        <w:t>三是进一步</w:t>
      </w:r>
      <w:r>
        <w:rPr>
          <w:rFonts w:hint="eastAsia" w:ascii="仿宋_GB2312" w:eastAsia="仿宋_GB2312" w:cs="仿宋_GB2312"/>
          <w:b w:val="0"/>
          <w:bCs w:val="0"/>
          <w:i w:val="0"/>
          <w:iCs w:val="0"/>
          <w:color w:val="000000"/>
          <w:spacing w:val="0"/>
          <w:sz w:val="30"/>
          <w:szCs w:val="30"/>
          <w:lang w:val="en-US" w:eastAsia="zh-CN"/>
        </w:rPr>
        <w:t>加强宣传</w:t>
      </w:r>
      <w:r>
        <w:rPr>
          <w:rFonts w:hint="eastAsia" w:ascii="仿宋_GB2312" w:eastAsia="仿宋_GB2312" w:cs="仿宋_GB2312"/>
          <w:b w:val="0"/>
          <w:bCs w:val="0"/>
          <w:i w:val="0"/>
          <w:iCs w:val="0"/>
          <w:color w:val="000000"/>
          <w:spacing w:val="0"/>
          <w:sz w:val="30"/>
          <w:szCs w:val="30"/>
        </w:rPr>
        <w:t>。</w:t>
      </w:r>
      <w:r>
        <w:rPr>
          <w:rFonts w:hint="eastAsia" w:ascii="仿宋_GB2312" w:eastAsia="仿宋_GB2312" w:cs="仿宋_GB2312"/>
          <w:b w:val="0"/>
          <w:bCs w:val="0"/>
          <w:i w:val="0"/>
          <w:iCs w:val="0"/>
          <w:color w:val="000000"/>
          <w:spacing w:val="0"/>
          <w:sz w:val="30"/>
          <w:szCs w:val="30"/>
          <w:lang w:val="en-US" w:eastAsia="zh-CN"/>
        </w:rPr>
        <w:t>采用多种形式的方式方法持续引导、帮助广大群众了解、想用、会用互联网终端查询所需的政务信息</w:t>
      </w:r>
      <w:r>
        <w:rPr>
          <w:rFonts w:hint="eastAsia" w:ascii="仿宋_GB2312" w:eastAsia="仿宋_GB2312" w:cs="仿宋_GB2312"/>
          <w:b w:val="0"/>
          <w:bCs w:val="0"/>
          <w:i w:val="0"/>
          <w:iCs w:val="0"/>
          <w:color w:val="000000"/>
          <w:spacing w:val="0"/>
          <w:sz w:val="30"/>
          <w:szCs w:val="30"/>
        </w:rPr>
        <w:t>。</w:t>
      </w:r>
    </w:p>
    <w:p w14:paraId="31D6D61E">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firstLine="634"/>
        <w:jc w:val="left"/>
        <w:textAlignment w:val="auto"/>
      </w:pPr>
      <w:r>
        <w:rPr>
          <w:rFonts w:hint="eastAsia" w:ascii="黑体" w:hAnsi="宋体" w:eastAsia="黑体" w:cs="黑体"/>
          <w:b w:val="0"/>
          <w:bCs w:val="0"/>
          <w:i w:val="0"/>
          <w:iCs w:val="0"/>
          <w:color w:val="000000"/>
          <w:spacing w:val="0"/>
          <w:sz w:val="30"/>
          <w:szCs w:val="30"/>
          <w:shd w:val="clear" w:fill="FFFFFF"/>
        </w:rPr>
        <w:t>六、其他需要报告的事项</w:t>
      </w:r>
    </w:p>
    <w:p w14:paraId="2DC09F48">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firstLine="634"/>
        <w:jc w:val="left"/>
        <w:textAlignment w:val="auto"/>
      </w:pPr>
      <w:r>
        <w:rPr>
          <w:rFonts w:hint="eastAsia" w:ascii="仿宋_GB2312" w:eastAsia="仿宋_GB2312" w:cs="仿宋_GB2312"/>
          <w:b w:val="0"/>
          <w:bCs w:val="0"/>
          <w:i w:val="0"/>
          <w:iCs w:val="0"/>
          <w:color w:val="000000"/>
          <w:spacing w:val="0"/>
          <w:sz w:val="30"/>
          <w:szCs w:val="30"/>
        </w:rPr>
        <w:t>1、202</w:t>
      </w:r>
      <w:r>
        <w:rPr>
          <w:rFonts w:hint="eastAsia" w:ascii="仿宋_GB2312" w:eastAsia="仿宋_GB2312" w:cs="仿宋_GB2312"/>
          <w:b w:val="0"/>
          <w:bCs w:val="0"/>
          <w:i w:val="0"/>
          <w:iCs w:val="0"/>
          <w:color w:val="000000"/>
          <w:spacing w:val="0"/>
          <w:sz w:val="30"/>
          <w:szCs w:val="30"/>
          <w:lang w:val="en-US" w:eastAsia="zh-CN"/>
        </w:rPr>
        <w:t>4</w:t>
      </w:r>
      <w:r>
        <w:rPr>
          <w:rFonts w:hint="eastAsia" w:ascii="仿宋_GB2312" w:eastAsia="仿宋_GB2312" w:cs="仿宋_GB2312"/>
          <w:b w:val="0"/>
          <w:bCs w:val="0"/>
          <w:i w:val="0"/>
          <w:iCs w:val="0"/>
          <w:color w:val="000000"/>
          <w:spacing w:val="0"/>
          <w:sz w:val="30"/>
          <w:szCs w:val="30"/>
        </w:rPr>
        <w:t>年未收取政府信息公开信息处理费。</w:t>
      </w:r>
    </w:p>
    <w:p w14:paraId="06C9E5EA">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firstLine="634"/>
        <w:jc w:val="left"/>
        <w:textAlignment w:val="auto"/>
      </w:pPr>
      <w:r>
        <w:rPr>
          <w:rFonts w:hint="eastAsia" w:ascii="仿宋_GB2312" w:eastAsia="仿宋_GB2312" w:cs="仿宋_GB2312"/>
          <w:b w:val="0"/>
          <w:bCs w:val="0"/>
          <w:i w:val="0"/>
          <w:iCs w:val="0"/>
          <w:color w:val="000000"/>
          <w:spacing w:val="0"/>
          <w:sz w:val="30"/>
          <w:szCs w:val="30"/>
        </w:rPr>
        <w:t>2、202</w:t>
      </w:r>
      <w:r>
        <w:rPr>
          <w:rFonts w:hint="eastAsia" w:ascii="仿宋_GB2312" w:eastAsia="仿宋_GB2312" w:cs="仿宋_GB2312"/>
          <w:b w:val="0"/>
          <w:bCs w:val="0"/>
          <w:i w:val="0"/>
          <w:iCs w:val="0"/>
          <w:color w:val="000000"/>
          <w:spacing w:val="0"/>
          <w:sz w:val="30"/>
          <w:szCs w:val="30"/>
          <w:lang w:val="en-US" w:eastAsia="zh-CN"/>
        </w:rPr>
        <w:t>4</w:t>
      </w:r>
      <w:r>
        <w:rPr>
          <w:rFonts w:hint="eastAsia" w:ascii="仿宋_GB2312" w:hAnsi="宋体" w:eastAsia="仿宋_GB2312" w:cs="仿宋_GB2312"/>
          <w:b w:val="0"/>
          <w:bCs w:val="0"/>
          <w:i w:val="0"/>
          <w:iCs w:val="0"/>
          <w:color w:val="000000"/>
          <w:spacing w:val="0"/>
          <w:sz w:val="30"/>
          <w:szCs w:val="30"/>
        </w:rPr>
        <w:t>年龙泉街道认真落实滕州市政务公开工作要点。坚持“公开是常态、不公开是例外”，着力推进涉及经济民生、教育医疗、生态环境、财政资金、政府采购项目等群众关心领域和关注热点的信息公开，自觉接受社会监督，积极回应群众关切，不断提高工作透明度和操作规范性。</w:t>
      </w:r>
    </w:p>
    <w:p w14:paraId="59B056A2">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firstLine="634"/>
        <w:jc w:val="left"/>
        <w:textAlignment w:val="auto"/>
      </w:pPr>
      <w:r>
        <w:rPr>
          <w:rFonts w:hint="eastAsia" w:ascii="仿宋_GB2312" w:eastAsia="仿宋_GB2312" w:cs="仿宋_GB2312"/>
          <w:b w:val="0"/>
          <w:bCs w:val="0"/>
          <w:i w:val="0"/>
          <w:iCs w:val="0"/>
          <w:color w:val="000000"/>
          <w:spacing w:val="0"/>
          <w:sz w:val="30"/>
          <w:szCs w:val="30"/>
        </w:rPr>
        <w:t>3、202</w:t>
      </w:r>
      <w:r>
        <w:rPr>
          <w:rFonts w:hint="eastAsia" w:ascii="仿宋_GB2312" w:eastAsia="仿宋_GB2312" w:cs="仿宋_GB2312"/>
          <w:b w:val="0"/>
          <w:bCs w:val="0"/>
          <w:i w:val="0"/>
          <w:iCs w:val="0"/>
          <w:color w:val="000000"/>
          <w:spacing w:val="0"/>
          <w:sz w:val="30"/>
          <w:szCs w:val="30"/>
          <w:lang w:val="en-US" w:eastAsia="zh-CN"/>
        </w:rPr>
        <w:t>4</w:t>
      </w:r>
      <w:r>
        <w:rPr>
          <w:rFonts w:hint="eastAsia" w:ascii="仿宋_GB2312" w:eastAsia="仿宋_GB2312" w:cs="仿宋_GB2312"/>
          <w:b w:val="0"/>
          <w:bCs w:val="0"/>
          <w:i w:val="0"/>
          <w:iCs w:val="0"/>
          <w:color w:val="000000"/>
          <w:spacing w:val="0"/>
          <w:sz w:val="30"/>
          <w:szCs w:val="30"/>
        </w:rPr>
        <w:t>年度龙泉街道未办理人大、政协建议提案。</w:t>
      </w:r>
    </w:p>
    <w:p w14:paraId="0FDBCEBA">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firstLine="634"/>
        <w:jc w:val="left"/>
        <w:textAlignment w:val="auto"/>
      </w:pPr>
      <w:r>
        <w:rPr>
          <w:rFonts w:hint="eastAsia" w:ascii="仿宋_GB2312" w:eastAsia="仿宋_GB2312" w:cs="仿宋_GB2312"/>
          <w:b w:val="0"/>
          <w:bCs w:val="0"/>
          <w:i w:val="0"/>
          <w:iCs w:val="0"/>
          <w:color w:val="000000"/>
          <w:spacing w:val="0"/>
          <w:sz w:val="30"/>
          <w:szCs w:val="30"/>
        </w:rPr>
        <w:t>4</w:t>
      </w:r>
      <w:r>
        <w:rPr>
          <w:rFonts w:hint="eastAsia" w:ascii="仿宋_GB2312" w:hAnsi="宋体" w:eastAsia="仿宋_GB2312" w:cs="仿宋_GB2312"/>
          <w:b w:val="0"/>
          <w:bCs w:val="0"/>
          <w:i w:val="0"/>
          <w:iCs w:val="0"/>
          <w:color w:val="000000"/>
          <w:spacing w:val="0"/>
          <w:sz w:val="30"/>
          <w:szCs w:val="30"/>
        </w:rPr>
        <w:t>、</w:t>
      </w:r>
      <w:r>
        <w:rPr>
          <w:rFonts w:hint="eastAsia" w:ascii="仿宋_GB2312" w:hAnsi="宋体" w:eastAsia="仿宋_GB2312" w:cs="仿宋_GB2312"/>
          <w:b w:val="0"/>
          <w:bCs w:val="0"/>
          <w:i w:val="0"/>
          <w:iCs w:val="0"/>
          <w:color w:val="000000"/>
          <w:spacing w:val="0"/>
          <w:sz w:val="30"/>
          <w:szCs w:val="30"/>
          <w:shd w:val="clear" w:fill="FFFFFF"/>
        </w:rPr>
        <w:t>创新工作思路，拓宽政务公开渠道，认真总结政务公开工作经验；畅通政民互动渠道，组织开展“政府开放日”活动。</w:t>
      </w:r>
    </w:p>
    <w:p w14:paraId="6F03866F">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firstLine="634"/>
        <w:jc w:val="left"/>
        <w:textAlignment w:val="auto"/>
      </w:pPr>
      <w:r>
        <w:rPr>
          <w:rFonts w:hint="eastAsia" w:ascii="仿宋_GB2312" w:eastAsia="仿宋_GB2312" w:cs="仿宋_GB2312"/>
          <w:b w:val="0"/>
          <w:bCs w:val="0"/>
          <w:i w:val="0"/>
          <w:iCs w:val="0"/>
          <w:color w:val="000000"/>
          <w:spacing w:val="0"/>
          <w:sz w:val="30"/>
          <w:szCs w:val="30"/>
        </w:rPr>
        <w:t>5、本年度政府信息公开年报中的数据真实可查。</w:t>
      </w:r>
    </w:p>
    <w:p w14:paraId="31D4382D">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firstLine="634"/>
        <w:jc w:val="left"/>
        <w:textAlignment w:val="auto"/>
      </w:pPr>
      <w:r>
        <w:rPr>
          <w:rFonts w:hint="eastAsia" w:ascii="仿宋_GB2312" w:eastAsia="仿宋_GB2312" w:cs="仿宋_GB2312"/>
          <w:b w:val="0"/>
          <w:bCs w:val="0"/>
          <w:i w:val="0"/>
          <w:iCs w:val="0"/>
          <w:color w:val="000000"/>
          <w:spacing w:val="0"/>
          <w:sz w:val="30"/>
          <w:szCs w:val="30"/>
        </w:rPr>
        <w:t>6、龙泉街道无需要报告的其他事项。</w:t>
      </w:r>
    </w:p>
    <w:p w14:paraId="4C049374">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firstLine="634"/>
        <w:jc w:val="left"/>
        <w:textAlignment w:val="auto"/>
      </w:pPr>
      <w:r>
        <w:rPr>
          <w:rFonts w:hint="eastAsia" w:ascii="仿宋_GB2312" w:eastAsia="仿宋_GB2312" w:cs="仿宋_GB2312"/>
          <w:b w:val="0"/>
          <w:bCs w:val="0"/>
          <w:i w:val="0"/>
          <w:iCs w:val="0"/>
          <w:color w:val="000000"/>
          <w:spacing w:val="0"/>
          <w:sz w:val="30"/>
          <w:szCs w:val="30"/>
        </w:rPr>
        <w:t>7、无其他有关文件专门要求通过政府信息公开年度报告予以报告的事项。</w:t>
      </w:r>
    </w:p>
    <w:p w14:paraId="6D6964E7">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firstLine="418"/>
        <w:jc w:val="both"/>
        <w:textAlignment w:val="auto"/>
      </w:pPr>
      <w:r>
        <w:rPr>
          <w:color w:val="000000"/>
          <w:spacing w:val="0"/>
          <w:u w:val="none"/>
          <w:shd w:val="clear" w:fill="FFFFFF"/>
        </w:rPr>
        <w:t> </w:t>
      </w:r>
      <w:r>
        <w:rPr>
          <w:rFonts w:hint="eastAsia" w:ascii="仿宋_GB2312" w:eastAsia="仿宋_GB2312" w:cs="仿宋_GB2312"/>
          <w:b w:val="0"/>
          <w:bCs w:val="0"/>
          <w:i w:val="0"/>
          <w:iCs w:val="0"/>
          <w:color w:val="000000"/>
          <w:spacing w:val="0"/>
          <w:sz w:val="30"/>
          <w:szCs w:val="30"/>
        </w:rPr>
        <w:t>本报告的电子版可在“中国滕州网”（http://www.tengzhou.gov.cn/</w:t>
      </w:r>
      <w:r>
        <w:rPr>
          <w:rFonts w:hint="eastAsia" w:ascii="仿宋_GB2312" w:eastAsia="仿宋_GB2312" w:cs="仿宋_GB2312"/>
          <w:b w:val="0"/>
          <w:bCs w:val="0"/>
          <w:i w:val="0"/>
          <w:iCs w:val="0"/>
          <w:color w:val="000000"/>
          <w:spacing w:val="0"/>
          <w:sz w:val="30"/>
          <w:szCs w:val="30"/>
          <w:lang w:eastAsia="zh-CN"/>
        </w:rPr>
        <w:t>）网站查询和下载。如对本报告有任何疑问，请与</w:t>
      </w:r>
      <w:r>
        <w:rPr>
          <w:rFonts w:hint="eastAsia" w:ascii="仿宋_GB2312" w:eastAsia="仿宋_GB2312" w:cs="仿宋_GB2312"/>
          <w:i w:val="0"/>
          <w:iCs w:val="0"/>
          <w:color w:val="000000"/>
          <w:spacing w:val="0"/>
          <w:sz w:val="30"/>
          <w:szCs w:val="30"/>
        </w:rPr>
        <w:t>龙泉街道办事处联系（地址：滕州市龙泉南路2169</w:t>
      </w:r>
      <w:r>
        <w:rPr>
          <w:rFonts w:hint="eastAsia" w:ascii="仿宋_GB2312" w:eastAsia="仿宋_GB2312" w:cs="仿宋_GB2312"/>
          <w:i w:val="0"/>
          <w:iCs w:val="0"/>
          <w:sz w:val="30"/>
          <w:szCs w:val="30"/>
        </w:rPr>
        <w:t>号；邮编：277599；联系电话：0632-5858008）。</w:t>
      </w:r>
    </w:p>
    <w:p w14:paraId="39348C9F">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firstLine="418"/>
        <w:jc w:val="both"/>
        <w:textAlignment w:val="auto"/>
      </w:pPr>
    </w:p>
    <w:p w14:paraId="2D66B723">
      <w:pPr>
        <w:keepNext w:val="0"/>
        <w:keepLines w:val="0"/>
        <w:pageBreakBefore w:val="0"/>
        <w:kinsoku/>
        <w:wordWrap/>
        <w:overflowPunct/>
        <w:topLinePunct w:val="0"/>
        <w:autoSpaceDE/>
        <w:autoSpaceDN/>
        <w:bidi w:val="0"/>
        <w:adjustRightInd/>
        <w:snapToGrid/>
        <w:spacing w:line="600" w:lineRule="exact"/>
        <w:textAlignment w:val="auto"/>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楷体_GB2312">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BBB3F">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0FAC9D">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230FAC9D">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QwNzE4YzBiMDIwZGFkZGVmMmM5YzUxZmIwMzBiOTMifQ=="/>
  </w:docVars>
  <w:rsids>
    <w:rsidRoot w:val="7673142F"/>
    <w:rsid w:val="0F263C7C"/>
    <w:rsid w:val="0FE10452"/>
    <w:rsid w:val="11770078"/>
    <w:rsid w:val="2C6C38DF"/>
    <w:rsid w:val="2DDE1B37"/>
    <w:rsid w:val="3AAF5223"/>
    <w:rsid w:val="3E1B1079"/>
    <w:rsid w:val="476A2E5A"/>
    <w:rsid w:val="4D664F56"/>
    <w:rsid w:val="50016951"/>
    <w:rsid w:val="530E1344"/>
    <w:rsid w:val="55E37830"/>
    <w:rsid w:val="590C6CAA"/>
    <w:rsid w:val="67223699"/>
    <w:rsid w:val="7673142F"/>
    <w:rsid w:val="7A707A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1946</Words>
  <Characters>2000</Characters>
  <Lines>0</Lines>
  <Paragraphs>0</Paragraphs>
  <TotalTime>19</TotalTime>
  <ScaleCrop>false</ScaleCrop>
  <LinksUpToDate>false</LinksUpToDate>
  <CharactersWithSpaces>2010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2024-01-28T01:35:00Z</dcterms:created>
  <dc:creator>Administrator</dc:creator>
  <cp:lastModifiedBy>Administrator</cp:lastModifiedBy>
  <dcterms:modified xsi:type="dcterms:W3CDTF">2025-01-15T02:02:11Z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E50DA88AB56B440AB24088DE2ABDD893_13</vt:lpwstr>
  </property>
  <property fmtid="{D5CDD505-2E9C-101B-9397-08002B2CF9AE}" pid="4" name="KSOTemplateDocerSaveRecord">
    <vt:lpwstr>eyJoZGlkIjoiNTQwNzE4YzBiMDIwZGFkZGVmMmM5YzUxZmIwMzBiOTMifQ==</vt:lpwstr>
  </property>
</Properties>
</file>