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AC587">
      <w:pPr>
        <w:widowControl/>
        <w:spacing w:line="600" w:lineRule="exact"/>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滕州市统计局</w:t>
      </w:r>
    </w:p>
    <w:p w14:paraId="518931C6">
      <w:pPr>
        <w:widowControl/>
        <w:spacing w:line="600" w:lineRule="exact"/>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2024年政府信息公开工作年度报告</w:t>
      </w:r>
    </w:p>
    <w:p w14:paraId="55C0A9E3">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根据《中华人民共和国政府信息公开条例》及相关文件要求，现将滕州市统计局2024年度政府信息公开年度报告向社会公开。本报告包括总体情况、主动公开政府信息情况、收到和处理政府信息公开申请情况、因政府信息公开工作被申请行政复议和提起行政诉讼情况、存在的主要问题及改进情况和其他需要报告的事项。本年报中所列数据的统计期限自2024年1月1日起至2024年12月31日止。</w:t>
      </w:r>
    </w:p>
    <w:p w14:paraId="0B38ED72">
      <w:pPr>
        <w:pStyle w:val="9"/>
        <w:widowControl/>
        <w:numPr>
          <w:ilvl w:val="0"/>
          <w:numId w:val="1"/>
        </w:numPr>
        <w:spacing w:line="600" w:lineRule="exact"/>
        <w:ind w:firstLineChars="0"/>
        <w:rPr>
          <w:rFonts w:ascii="黑体" w:hAnsi="黑体" w:eastAsia="黑体" w:cs="宋体"/>
          <w:color w:val="000000"/>
          <w:kern w:val="0"/>
          <w:sz w:val="32"/>
          <w:szCs w:val="32"/>
        </w:rPr>
      </w:pPr>
      <w:r>
        <w:rPr>
          <w:rFonts w:hint="eastAsia" w:ascii="黑体" w:hAnsi="黑体" w:eastAsia="黑体" w:cs="宋体"/>
          <w:color w:val="000000"/>
          <w:kern w:val="0"/>
          <w:sz w:val="32"/>
          <w:szCs w:val="32"/>
        </w:rPr>
        <w:t>总体情况</w:t>
      </w:r>
    </w:p>
    <w:p w14:paraId="6EC49487">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2024年，滕州市统计局严格按照市委、市政府决策部署，认真贯彻落实《中华人民共和国政府信息公开条例》有关规定，强化组织领导、健全工作机制、完善公开内容，不断强化政府信息公开的质量与时效，公开的信息更加全面</w:t>
      </w:r>
      <w:r>
        <w:rPr>
          <w:rFonts w:hint="eastAsia" w:ascii="仿宋_GB2312" w:hAnsi="微软雅黑" w:eastAsia="仿宋_GB2312" w:cs="仿宋_GB2312"/>
          <w:color w:val="000033"/>
          <w:kern w:val="0"/>
          <w:sz w:val="32"/>
          <w:szCs w:val="32"/>
          <w:shd w:val="clear" w:color="auto" w:fill="FFFFFF"/>
          <w:lang w:eastAsia="zh-CN"/>
        </w:rPr>
        <w:t>、</w:t>
      </w:r>
      <w:r>
        <w:rPr>
          <w:rFonts w:hint="eastAsia" w:ascii="仿宋_GB2312" w:hAnsi="微软雅黑" w:eastAsia="仿宋_GB2312" w:cs="仿宋_GB2312"/>
          <w:color w:val="000033"/>
          <w:kern w:val="0"/>
          <w:sz w:val="32"/>
          <w:szCs w:val="32"/>
          <w:shd w:val="clear" w:color="auto" w:fill="FFFFFF"/>
        </w:rPr>
        <w:t>准确且及时，满足公众对</w:t>
      </w:r>
      <w:r>
        <w:rPr>
          <w:rFonts w:hint="eastAsia" w:ascii="仿宋_GB2312" w:hAnsi="微软雅黑" w:eastAsia="仿宋_GB2312" w:cs="仿宋_GB2312"/>
          <w:color w:val="000033"/>
          <w:kern w:val="0"/>
          <w:sz w:val="32"/>
          <w:szCs w:val="32"/>
          <w:shd w:val="clear" w:color="auto" w:fill="FFFFFF"/>
          <w:lang w:eastAsia="zh-CN"/>
        </w:rPr>
        <w:t>相关</w:t>
      </w:r>
      <w:r>
        <w:rPr>
          <w:rFonts w:hint="eastAsia" w:ascii="仿宋_GB2312" w:hAnsi="微软雅黑" w:eastAsia="仿宋_GB2312" w:cs="仿宋_GB2312"/>
          <w:color w:val="000033"/>
          <w:kern w:val="0"/>
          <w:sz w:val="32"/>
          <w:szCs w:val="32"/>
          <w:shd w:val="clear" w:color="auto" w:fill="FFFFFF"/>
        </w:rPr>
        <w:t>信息的需求。</w:t>
      </w:r>
    </w:p>
    <w:p w14:paraId="1CF1002E">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r>
        <w:rPr>
          <w:rFonts w:hint="eastAsia" w:ascii="楷体_GB2312" w:hAnsi="黑体" w:eastAsia="楷体_GB2312" w:cs="仿宋_GB2312"/>
          <w:color w:val="000033"/>
          <w:kern w:val="0"/>
          <w:sz w:val="32"/>
          <w:szCs w:val="32"/>
          <w:shd w:val="clear" w:color="auto" w:fill="FFFFFF"/>
        </w:rPr>
        <w:t>（一）主动公开情况</w:t>
      </w:r>
    </w:p>
    <w:p w14:paraId="6955EF5B">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2024年，</w:t>
      </w:r>
      <w:r>
        <w:rPr>
          <w:rFonts w:hint="eastAsia" w:ascii="仿宋_GB2312" w:hAnsi="微软雅黑" w:eastAsia="仿宋_GB2312" w:cs="仿宋_GB2312"/>
          <w:color w:val="000033"/>
          <w:kern w:val="0"/>
          <w:sz w:val="32"/>
          <w:szCs w:val="32"/>
          <w:shd w:val="clear" w:color="auto" w:fill="FFFFFF"/>
          <w:lang w:eastAsia="zh-CN"/>
        </w:rPr>
        <w:t>滕州市统计局</w:t>
      </w:r>
      <w:r>
        <w:rPr>
          <w:rFonts w:hint="eastAsia" w:ascii="仿宋_GB2312" w:hAnsi="微软雅黑" w:eastAsia="仿宋_GB2312" w:cs="仿宋_GB2312"/>
          <w:color w:val="000033"/>
          <w:kern w:val="0"/>
          <w:sz w:val="32"/>
          <w:szCs w:val="32"/>
          <w:shd w:val="clear" w:color="auto" w:fill="FFFFFF"/>
        </w:rPr>
        <w:t>积极通过滕州市人民政府官网信息公开页面、“滕州统计”微信公众号等方式，及时更新滕州市国民经济主要指标和民生相关统计数据，定期发布全市年度、季度、月度经济运行情况。</w:t>
      </w:r>
    </w:p>
    <w:p w14:paraId="2B4A5BDE">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2024年在滕州市统计局微信公众号转载中国政府网信息1</w:t>
      </w:r>
      <w:r>
        <w:rPr>
          <w:rFonts w:hint="eastAsia" w:ascii="仿宋_GB2312" w:hAnsi="微软雅黑" w:eastAsia="仿宋_GB2312" w:cs="仿宋_GB2312"/>
          <w:color w:val="000033"/>
          <w:kern w:val="0"/>
          <w:sz w:val="32"/>
          <w:szCs w:val="32"/>
          <w:shd w:val="clear" w:color="auto" w:fill="FFFFFF"/>
          <w:lang w:val="en-US" w:eastAsia="zh-CN"/>
        </w:rPr>
        <w:t>48</w:t>
      </w:r>
      <w:r>
        <w:rPr>
          <w:rFonts w:hint="eastAsia" w:ascii="仿宋_GB2312" w:hAnsi="微软雅黑" w:eastAsia="仿宋_GB2312" w:cs="仿宋_GB2312"/>
          <w:color w:val="000033"/>
          <w:kern w:val="0"/>
          <w:sz w:val="32"/>
          <w:szCs w:val="32"/>
          <w:shd w:val="clear" w:color="auto" w:fill="FFFFFF"/>
        </w:rPr>
        <w:t>条，滕州市人民政府官网信息公开页面主动公开部门文件</w:t>
      </w:r>
      <w:r>
        <w:rPr>
          <w:rFonts w:hint="eastAsia" w:ascii="仿宋_GB2312" w:hAnsi="微软雅黑" w:eastAsia="仿宋_GB2312" w:cs="仿宋_GB2312"/>
          <w:color w:val="000033"/>
          <w:kern w:val="0"/>
          <w:sz w:val="32"/>
          <w:szCs w:val="32"/>
          <w:shd w:val="clear" w:color="auto" w:fill="FFFFFF"/>
          <w:lang w:val="en-US" w:eastAsia="zh-CN"/>
        </w:rPr>
        <w:t>2</w:t>
      </w:r>
      <w:r>
        <w:rPr>
          <w:rFonts w:hint="eastAsia" w:ascii="仿宋_GB2312" w:hAnsi="微软雅黑" w:eastAsia="仿宋_GB2312" w:cs="仿宋_GB2312"/>
          <w:color w:val="000033"/>
          <w:kern w:val="0"/>
          <w:sz w:val="32"/>
          <w:szCs w:val="32"/>
          <w:shd w:val="clear" w:color="auto" w:fill="FFFFFF"/>
        </w:rPr>
        <w:t>件，发布政务动态信息8</w:t>
      </w:r>
      <w:r>
        <w:rPr>
          <w:rFonts w:hint="eastAsia" w:ascii="仿宋_GB2312" w:hAnsi="微软雅黑" w:eastAsia="仿宋_GB2312" w:cs="仿宋_GB2312"/>
          <w:color w:val="000033"/>
          <w:kern w:val="0"/>
          <w:sz w:val="32"/>
          <w:szCs w:val="32"/>
          <w:shd w:val="clear" w:color="auto" w:fill="FFFFFF"/>
          <w:lang w:val="en-US" w:eastAsia="zh-CN"/>
        </w:rPr>
        <w:t>7</w:t>
      </w:r>
      <w:r>
        <w:rPr>
          <w:rFonts w:hint="eastAsia" w:ascii="仿宋_GB2312" w:hAnsi="微软雅黑" w:eastAsia="仿宋_GB2312" w:cs="仿宋_GB2312"/>
          <w:color w:val="000033"/>
          <w:kern w:val="0"/>
          <w:sz w:val="32"/>
          <w:szCs w:val="32"/>
          <w:shd w:val="clear" w:color="auto" w:fill="FFFFFF"/>
        </w:rPr>
        <w:t>条，统计数据信息11条。</w:t>
      </w:r>
    </w:p>
    <w:p w14:paraId="238A6EBF">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楷体_GB2312" w:hAnsi="黑体" w:eastAsia="楷体_GB2312" w:cs="仿宋_GB2312"/>
          <w:color w:val="000033"/>
          <w:kern w:val="0"/>
          <w:sz w:val="32"/>
          <w:szCs w:val="32"/>
          <w:shd w:val="clear" w:color="auto" w:fill="FFFFFF"/>
        </w:rPr>
        <w:drawing>
          <wp:anchor distT="0" distB="0" distL="114300" distR="114300" simplePos="0" relativeHeight="251661312" behindDoc="0" locked="0" layoutInCell="1" allowOverlap="1">
            <wp:simplePos x="0" y="0"/>
            <wp:positionH relativeFrom="column">
              <wp:posOffset>-149860</wp:posOffset>
            </wp:positionH>
            <wp:positionV relativeFrom="paragraph">
              <wp:posOffset>68580</wp:posOffset>
            </wp:positionV>
            <wp:extent cx="5324475" cy="3804285"/>
            <wp:effectExtent l="0" t="0" r="9525" b="5715"/>
            <wp:wrapNone/>
            <wp:docPr id="6" name="图片 6" descr="6547f65774dc22528a513230dc596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547f65774dc22528a513230dc596f3"/>
                    <pic:cNvPicPr>
                      <a:picLocks noChangeAspect="1"/>
                    </pic:cNvPicPr>
                  </pic:nvPicPr>
                  <pic:blipFill>
                    <a:blip r:embed="rId5"/>
                    <a:stretch>
                      <a:fillRect/>
                    </a:stretch>
                  </pic:blipFill>
                  <pic:spPr>
                    <a:xfrm>
                      <a:off x="0" y="0"/>
                      <a:ext cx="5324475" cy="3804285"/>
                    </a:xfrm>
                    <a:prstGeom prst="rect">
                      <a:avLst/>
                    </a:prstGeom>
                  </pic:spPr>
                </pic:pic>
              </a:graphicData>
            </a:graphic>
          </wp:anchor>
        </w:drawing>
      </w:r>
    </w:p>
    <w:p w14:paraId="08DD2B04">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p>
    <w:p w14:paraId="1A5FF815">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7FFA876B">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69E04462">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6AC984AE">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0E55E7BD">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08C6D414">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5383E869">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08A9BBB1">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55531139">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r>
        <w:rPr>
          <w:rFonts w:hint="eastAsia" w:ascii="楷体_GB2312" w:hAnsi="黑体" w:eastAsia="楷体_GB2312" w:cs="仿宋_GB2312"/>
          <w:color w:val="000033"/>
          <w:kern w:val="0"/>
          <w:sz w:val="32"/>
          <w:szCs w:val="32"/>
          <w:shd w:val="clear" w:color="auto" w:fill="FFFFFF"/>
        </w:rPr>
        <w:drawing>
          <wp:anchor distT="0" distB="0" distL="114300" distR="114300" simplePos="0" relativeHeight="251659264" behindDoc="0" locked="0" layoutInCell="1" allowOverlap="1">
            <wp:simplePos x="0" y="0"/>
            <wp:positionH relativeFrom="column">
              <wp:posOffset>2869565</wp:posOffset>
            </wp:positionH>
            <wp:positionV relativeFrom="paragraph">
              <wp:posOffset>17145</wp:posOffset>
            </wp:positionV>
            <wp:extent cx="2305050" cy="2792730"/>
            <wp:effectExtent l="0" t="0" r="0" b="7620"/>
            <wp:wrapNone/>
            <wp:docPr id="4" name="图片 4" descr="00788f14ce098a1c0edc153e640d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0788f14ce098a1c0edc153e640de36"/>
                    <pic:cNvPicPr>
                      <a:picLocks noChangeAspect="1"/>
                    </pic:cNvPicPr>
                  </pic:nvPicPr>
                  <pic:blipFill>
                    <a:blip r:embed="rId6"/>
                    <a:stretch>
                      <a:fillRect/>
                    </a:stretch>
                  </pic:blipFill>
                  <pic:spPr>
                    <a:xfrm>
                      <a:off x="0" y="0"/>
                      <a:ext cx="2305050" cy="2792730"/>
                    </a:xfrm>
                    <a:prstGeom prst="rect">
                      <a:avLst/>
                    </a:prstGeom>
                  </pic:spPr>
                </pic:pic>
              </a:graphicData>
            </a:graphic>
          </wp:anchor>
        </w:drawing>
      </w:r>
      <w:r>
        <w:rPr>
          <w:rFonts w:hint="eastAsia" w:ascii="楷体_GB2312" w:hAnsi="黑体" w:eastAsia="楷体_GB2312" w:cs="仿宋_GB2312"/>
          <w:color w:val="000033"/>
          <w:kern w:val="0"/>
          <w:sz w:val="32"/>
          <w:szCs w:val="32"/>
          <w:shd w:val="clear" w:color="auto" w:fill="FFFFFF"/>
        </w:rPr>
        <w:drawing>
          <wp:anchor distT="0" distB="0" distL="114300" distR="114300" simplePos="0" relativeHeight="251660288" behindDoc="0" locked="0" layoutInCell="1" allowOverlap="1">
            <wp:simplePos x="0" y="0"/>
            <wp:positionH relativeFrom="column">
              <wp:posOffset>-149860</wp:posOffset>
            </wp:positionH>
            <wp:positionV relativeFrom="paragraph">
              <wp:posOffset>17145</wp:posOffset>
            </wp:positionV>
            <wp:extent cx="3046730" cy="2782570"/>
            <wp:effectExtent l="0" t="0" r="1270" b="17780"/>
            <wp:wrapNone/>
            <wp:docPr id="5" name="图片 5" descr="5a2705926c2cc45c6150b8cc227ec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a2705926c2cc45c6150b8cc227ecb2"/>
                    <pic:cNvPicPr>
                      <a:picLocks noChangeAspect="1"/>
                    </pic:cNvPicPr>
                  </pic:nvPicPr>
                  <pic:blipFill>
                    <a:blip r:embed="rId7"/>
                    <a:stretch>
                      <a:fillRect/>
                    </a:stretch>
                  </pic:blipFill>
                  <pic:spPr>
                    <a:xfrm>
                      <a:off x="0" y="0"/>
                      <a:ext cx="3046730" cy="2782570"/>
                    </a:xfrm>
                    <a:prstGeom prst="rect">
                      <a:avLst/>
                    </a:prstGeom>
                  </pic:spPr>
                </pic:pic>
              </a:graphicData>
            </a:graphic>
          </wp:anchor>
        </w:drawing>
      </w:r>
    </w:p>
    <w:p w14:paraId="06D2EEC2">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5403A8B5">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41F424E4">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03DE40BF">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4CF789E3">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456EE3C9">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4D7C36D8">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p>
    <w:p w14:paraId="3DA32323">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r>
        <w:rPr>
          <w:rFonts w:hint="eastAsia" w:ascii="楷体_GB2312" w:hAnsi="黑体" w:eastAsia="楷体_GB2312" w:cs="仿宋_GB2312"/>
          <w:color w:val="000033"/>
          <w:kern w:val="0"/>
          <w:sz w:val="32"/>
          <w:szCs w:val="32"/>
          <w:shd w:val="clear" w:color="auto" w:fill="FFFFFF"/>
        </w:rPr>
        <w:t>（二）依申请公开政府信息办理情况</w:t>
      </w:r>
    </w:p>
    <w:p w14:paraId="4FB08482">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1.办理情况。2024年，滕州市统计局共受理2件政府信息公开申请。结转上年政府信息公开申请0件。</w:t>
      </w:r>
    </w:p>
    <w:p w14:paraId="59388CC5">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2.处理情况。共答复政府信息公开申请2件。2024年，滕州市统计局共收到并处理政府信息公开申请2件，按时办结2件，按时办结率100%，与去年持平。</w:t>
      </w:r>
      <w:r>
        <w:rPr>
          <w:rFonts w:hint="eastAsia" w:ascii="仿宋_GB2312" w:hAnsi="微软雅黑" w:eastAsia="仿宋_GB2312" w:cs="仿宋_GB2312"/>
          <w:color w:val="000033"/>
          <w:kern w:val="0"/>
          <w:sz w:val="32"/>
          <w:szCs w:val="32"/>
          <w:shd w:val="clear" w:color="auto" w:fill="FFFFFF"/>
          <w:lang w:val="en-US" w:eastAsia="zh-CN"/>
        </w:rPr>
        <w:t>2件均为自然人申请，全部予以公开。</w:t>
      </w:r>
      <w:r>
        <w:rPr>
          <w:rFonts w:hint="eastAsia" w:ascii="仿宋_GB2312" w:hAnsi="微软雅黑" w:eastAsia="仿宋_GB2312" w:cs="仿宋_GB2312"/>
          <w:color w:val="000033"/>
          <w:kern w:val="0"/>
          <w:sz w:val="32"/>
          <w:szCs w:val="32"/>
          <w:shd w:val="clear" w:color="auto" w:fill="FFFFFF"/>
        </w:rPr>
        <w:t>本年度无因政府信息公开产生行政复议和行政诉讼。</w:t>
      </w:r>
    </w:p>
    <w:p w14:paraId="03FFC09D">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r>
        <w:rPr>
          <w:rFonts w:hint="eastAsia" w:ascii="楷体_GB2312" w:hAnsi="黑体" w:eastAsia="楷体_GB2312" w:cs="仿宋_GB2312"/>
          <w:color w:val="000033"/>
          <w:kern w:val="0"/>
          <w:sz w:val="32"/>
          <w:szCs w:val="32"/>
          <w:shd w:val="clear" w:color="auto" w:fill="FFFFFF"/>
        </w:rPr>
        <w:t>（三）政府信息管理情况</w:t>
      </w:r>
    </w:p>
    <w:p w14:paraId="407AE47A">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按照政府信息公开要求，定期对滕州市人民政府官网信息公开页面进行信息维护和公开。同时，严格遵循“谁公开、谁审查、谁负责”原则，确保政务信息的更新、维护和报送工作扎实有效开展。</w:t>
      </w:r>
    </w:p>
    <w:p w14:paraId="40A03B33">
      <w:pPr>
        <w:widowControl/>
        <w:shd w:val="clear" w:color="auto" w:fill="FFFFFF"/>
        <w:spacing w:line="600" w:lineRule="exact"/>
        <w:rPr>
          <w:rFonts w:ascii="楷体_GB2312" w:hAnsi="黑体" w:eastAsia="楷体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 xml:space="preserve">   </w:t>
      </w:r>
      <w:r>
        <w:rPr>
          <w:rFonts w:hint="eastAsia" w:ascii="楷体_GB2312" w:hAnsi="黑体" w:eastAsia="楷体_GB2312" w:cs="仿宋_GB2312"/>
          <w:color w:val="000033"/>
          <w:kern w:val="0"/>
          <w:sz w:val="32"/>
          <w:szCs w:val="32"/>
          <w:shd w:val="clear" w:color="auto" w:fill="FFFFFF"/>
        </w:rPr>
        <w:t>（四）政府信息平台建设情况</w:t>
      </w:r>
    </w:p>
    <w:p w14:paraId="2DA64D08">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结合单位实际情况，不断创新公开方式，丰富公开载体。明确专人维护信息公开平台，政务新媒体积极配合上级转发网站链接，丰富信息化内容，加大信息的更新频率。做到多平台、多渠道同步更新。截至2024年12月31日，“滕州统计”微信公众号关注人数已近千人。</w:t>
      </w:r>
    </w:p>
    <w:p w14:paraId="408616DC">
      <w:pPr>
        <w:widowControl/>
        <w:shd w:val="clear" w:color="auto" w:fill="FFFFFF"/>
        <w:spacing w:line="600" w:lineRule="exact"/>
        <w:ind w:firstLine="640" w:firstLineChars="200"/>
        <w:rPr>
          <w:rFonts w:ascii="楷体_GB2312" w:hAnsi="黑体" w:eastAsia="楷体_GB2312" w:cs="仿宋_GB2312"/>
          <w:color w:val="000033"/>
          <w:kern w:val="0"/>
          <w:sz w:val="32"/>
          <w:szCs w:val="32"/>
          <w:shd w:val="clear" w:color="auto" w:fill="FFFFFF"/>
        </w:rPr>
      </w:pPr>
      <w:r>
        <w:rPr>
          <w:rFonts w:hint="eastAsia" w:ascii="楷体_GB2312" w:hAnsi="黑体" w:eastAsia="楷体_GB2312" w:cs="仿宋_GB2312"/>
          <w:color w:val="000033"/>
          <w:kern w:val="0"/>
          <w:sz w:val="32"/>
          <w:szCs w:val="32"/>
          <w:shd w:val="clear" w:color="auto" w:fill="FFFFFF"/>
        </w:rPr>
        <w:t>（五）监督保障情况</w:t>
      </w:r>
    </w:p>
    <w:p w14:paraId="59A60A53">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根据单位自身实际，进一步强化组织领导，实行局党组书记、局长负责制</w:t>
      </w:r>
      <w:r>
        <w:rPr>
          <w:rFonts w:hint="eastAsia" w:ascii="仿宋_GB2312" w:hAnsi="微软雅黑" w:eastAsia="仿宋_GB2312" w:cs="仿宋_GB2312"/>
          <w:color w:val="000033"/>
          <w:kern w:val="0"/>
          <w:sz w:val="32"/>
          <w:szCs w:val="32"/>
          <w:shd w:val="clear" w:color="auto" w:fill="FFFFFF"/>
          <w:lang w:eastAsia="zh-CN"/>
        </w:rPr>
        <w:t>，</w:t>
      </w:r>
      <w:r>
        <w:rPr>
          <w:rFonts w:hint="eastAsia" w:ascii="仿宋_GB2312" w:hAnsi="微软雅黑" w:eastAsia="仿宋_GB2312" w:cs="仿宋_GB2312"/>
          <w:color w:val="000033"/>
          <w:kern w:val="0"/>
          <w:sz w:val="32"/>
          <w:szCs w:val="32"/>
          <w:shd w:val="clear" w:color="auto" w:fill="FFFFFF"/>
        </w:rPr>
        <w:t>办公室负责政务信息公开工作的具体实施，各科室协调配合，确保政务公开工作高效有序开展。</w:t>
      </w:r>
    </w:p>
    <w:p w14:paraId="767D0176">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2024年，滕州市统计局未发生因信息公开审查不当或保密审查机构未履行保密审查职责而引起的失泄密情况。2024年度未进行社会评议，未发生责任追究情况。</w:t>
      </w:r>
    </w:p>
    <w:p w14:paraId="1AF963D3">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p>
    <w:p w14:paraId="4D1745E2">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p>
    <w:p w14:paraId="1B31FFA2">
      <w:pPr>
        <w:pStyle w:val="9"/>
        <w:widowControl/>
        <w:numPr>
          <w:ilvl w:val="0"/>
          <w:numId w:val="1"/>
        </w:numPr>
        <w:spacing w:line="600" w:lineRule="exact"/>
        <w:ind w:firstLineChars="0"/>
        <w:rPr>
          <w:rFonts w:ascii="黑体" w:hAnsi="黑体" w:eastAsia="黑体" w:cs="宋体"/>
          <w:color w:val="000000"/>
          <w:kern w:val="0"/>
          <w:sz w:val="32"/>
          <w:szCs w:val="32"/>
        </w:rPr>
      </w:pPr>
      <w:r>
        <w:rPr>
          <w:rFonts w:hint="eastAsia" w:ascii="黑体" w:hAnsi="黑体" w:eastAsia="黑体" w:cs="宋体"/>
          <w:color w:val="000000"/>
          <w:kern w:val="0"/>
          <w:sz w:val="32"/>
          <w:szCs w:val="32"/>
        </w:rPr>
        <w:t>主动公开政府信息情况</w:t>
      </w:r>
    </w:p>
    <w:tbl>
      <w:tblPr>
        <w:tblStyle w:val="6"/>
        <w:tblW w:w="0" w:type="auto"/>
        <w:tblInd w:w="0" w:type="dxa"/>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1986"/>
        <w:gridCol w:w="2125"/>
        <w:gridCol w:w="1922"/>
        <w:gridCol w:w="2513"/>
      </w:tblGrid>
      <w:tr w14:paraId="6A93A1AB">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45" w:hRule="atLeast"/>
        </w:trPr>
        <w:tc>
          <w:tcPr>
            <w:tcW w:w="9105" w:type="dxa"/>
            <w:gridSpan w:val="4"/>
            <w:tcBorders>
              <w:top w:val="single" w:color="00000A" w:sz="6" w:space="0"/>
              <w:left w:val="single" w:color="00000A" w:sz="6" w:space="0"/>
              <w:bottom w:val="single" w:color="00000A" w:sz="6" w:space="0"/>
              <w:right w:val="single" w:color="000001" w:sz="6" w:space="0"/>
            </w:tcBorders>
            <w:shd w:val="clear" w:color="auto" w:fill="C6D9F1"/>
            <w:tcMar>
              <w:top w:w="0" w:type="dxa"/>
              <w:left w:w="120" w:type="dxa"/>
              <w:bottom w:w="0" w:type="dxa"/>
              <w:right w:w="120" w:type="dxa"/>
            </w:tcMar>
            <w:vAlign w:val="center"/>
          </w:tcPr>
          <w:p w14:paraId="2A5EAE61">
            <w:pPr>
              <w:widowControl/>
              <w:spacing w:line="555" w:lineRule="atLeast"/>
              <w:ind w:firstLine="480"/>
              <w:jc w:val="center"/>
              <w:rPr>
                <w:rFonts w:ascii="Arial" w:hAnsi="Arial" w:eastAsia="宋体" w:cs="Arial"/>
                <w:color w:val="000000"/>
                <w:kern w:val="0"/>
                <w:sz w:val="27"/>
                <w:szCs w:val="27"/>
              </w:rPr>
            </w:pPr>
            <w:r>
              <w:rPr>
                <w:rFonts w:hint="eastAsia" w:ascii="黑体" w:hAnsi="黑体" w:eastAsia="黑体" w:cs="Arial"/>
                <w:color w:val="000000"/>
                <w:kern w:val="0"/>
                <w:sz w:val="24"/>
                <w:szCs w:val="24"/>
              </w:rPr>
              <w:t>第二十条第（一）项</w:t>
            </w:r>
          </w:p>
        </w:tc>
      </w:tr>
      <w:tr w14:paraId="171AF85E">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0DE03D51">
            <w:pPr>
              <w:widowControl/>
              <w:wordWrap w:val="0"/>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信息内容</w:t>
            </w:r>
          </w:p>
        </w:tc>
        <w:tc>
          <w:tcPr>
            <w:tcW w:w="2280" w:type="dxa"/>
            <w:tcBorders>
              <w:top w:val="nil"/>
              <w:left w:val="nil"/>
              <w:bottom w:val="single" w:color="00000A" w:sz="6" w:space="0"/>
              <w:right w:val="single" w:color="00000A" w:sz="6" w:space="0"/>
            </w:tcBorders>
            <w:tcMar>
              <w:top w:w="0" w:type="dxa"/>
              <w:left w:w="0" w:type="dxa"/>
              <w:bottom w:w="0" w:type="dxa"/>
              <w:right w:w="120" w:type="dxa"/>
            </w:tcMar>
            <w:vAlign w:val="center"/>
          </w:tcPr>
          <w:p w14:paraId="0FFB45E5">
            <w:pPr>
              <w:widowControl/>
              <w:spacing w:line="555" w:lineRule="atLeast"/>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本年制发件数</w:t>
            </w:r>
          </w:p>
        </w:tc>
        <w:tc>
          <w:tcPr>
            <w:tcW w:w="2055" w:type="dxa"/>
            <w:tcBorders>
              <w:top w:val="nil"/>
              <w:left w:val="nil"/>
              <w:bottom w:val="single" w:color="00000A" w:sz="6" w:space="0"/>
              <w:right w:val="single" w:color="00000A" w:sz="6" w:space="0"/>
            </w:tcBorders>
            <w:tcMar>
              <w:top w:w="0" w:type="dxa"/>
              <w:left w:w="120" w:type="dxa"/>
              <w:bottom w:w="0" w:type="dxa"/>
              <w:right w:w="120" w:type="dxa"/>
            </w:tcMar>
            <w:vAlign w:val="center"/>
          </w:tcPr>
          <w:p w14:paraId="17ADD76D">
            <w:pPr>
              <w:widowControl/>
              <w:spacing w:line="555" w:lineRule="atLeast"/>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本年废止件数</w:t>
            </w:r>
          </w:p>
        </w:tc>
        <w:tc>
          <w:tcPr>
            <w:tcW w:w="2685" w:type="dxa"/>
            <w:tcBorders>
              <w:top w:val="nil"/>
              <w:left w:val="nil"/>
              <w:bottom w:val="single" w:color="00000A" w:sz="6" w:space="0"/>
              <w:right w:val="single" w:color="00000A" w:sz="6" w:space="0"/>
            </w:tcBorders>
            <w:tcMar>
              <w:top w:w="0" w:type="dxa"/>
              <w:left w:w="120" w:type="dxa"/>
              <w:bottom w:w="0" w:type="dxa"/>
              <w:right w:w="120" w:type="dxa"/>
            </w:tcMar>
            <w:vAlign w:val="center"/>
          </w:tcPr>
          <w:p w14:paraId="247F0FC2">
            <w:pPr>
              <w:widowControl/>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现行有效件数</w:t>
            </w:r>
          </w:p>
        </w:tc>
      </w:tr>
      <w:tr w14:paraId="7431D3EF">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5A008BDE">
            <w:pPr>
              <w:widowControl/>
              <w:wordWrap w:val="0"/>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规章</w:t>
            </w:r>
          </w:p>
        </w:tc>
        <w:tc>
          <w:tcPr>
            <w:tcW w:w="2280" w:type="dxa"/>
            <w:tcBorders>
              <w:top w:val="nil"/>
              <w:left w:val="nil"/>
              <w:bottom w:val="single" w:color="00000A" w:sz="6" w:space="0"/>
              <w:right w:val="single" w:color="00000A" w:sz="6" w:space="0"/>
            </w:tcBorders>
            <w:tcMar>
              <w:top w:w="0" w:type="dxa"/>
              <w:left w:w="0" w:type="dxa"/>
              <w:bottom w:w="0" w:type="dxa"/>
              <w:right w:w="120" w:type="dxa"/>
            </w:tcMar>
            <w:vAlign w:val="center"/>
          </w:tcPr>
          <w:p w14:paraId="7156AC68">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c>
          <w:tcPr>
            <w:tcW w:w="2055" w:type="dxa"/>
            <w:tcBorders>
              <w:top w:val="nil"/>
              <w:left w:val="nil"/>
              <w:bottom w:val="single" w:color="00000A" w:sz="6" w:space="0"/>
              <w:right w:val="single" w:color="00000A" w:sz="6" w:space="0"/>
            </w:tcBorders>
            <w:tcMar>
              <w:top w:w="0" w:type="dxa"/>
              <w:left w:w="120" w:type="dxa"/>
              <w:bottom w:w="0" w:type="dxa"/>
              <w:right w:w="120" w:type="dxa"/>
            </w:tcMar>
            <w:vAlign w:val="center"/>
          </w:tcPr>
          <w:p w14:paraId="3107E311">
            <w:pPr>
              <w:widowControl/>
              <w:wordWrap w:val="0"/>
              <w:spacing w:line="555" w:lineRule="atLeast"/>
              <w:ind w:firstLine="480"/>
              <w:jc w:val="center"/>
              <w:rPr>
                <w:rFonts w:ascii="Arial" w:hAnsi="Arial" w:eastAsia="宋体" w:cs="Arial"/>
                <w:color w:val="000000"/>
                <w:kern w:val="0"/>
                <w:sz w:val="27"/>
                <w:szCs w:val="27"/>
              </w:rPr>
            </w:pPr>
            <w:r>
              <w:rPr>
                <w:rFonts w:ascii="Arial" w:hAnsi="Arial" w:eastAsia="宋体" w:cs="Arial"/>
                <w:color w:val="000000"/>
                <w:kern w:val="0"/>
                <w:sz w:val="27"/>
                <w:szCs w:val="27"/>
              </w:rPr>
              <w:t>　 </w:t>
            </w:r>
            <w:r>
              <w:rPr>
                <w:rFonts w:hint="eastAsia" w:ascii="仿宋_GB2312" w:hAnsi="Arial" w:eastAsia="仿宋_GB2312" w:cs="Arial"/>
                <w:color w:val="000000"/>
                <w:kern w:val="0"/>
                <w:sz w:val="24"/>
                <w:szCs w:val="24"/>
              </w:rPr>
              <w:t>0</w:t>
            </w:r>
          </w:p>
        </w:tc>
        <w:tc>
          <w:tcPr>
            <w:tcW w:w="2685" w:type="dxa"/>
            <w:tcBorders>
              <w:top w:val="nil"/>
              <w:left w:val="nil"/>
              <w:bottom w:val="single" w:color="00000A" w:sz="6" w:space="0"/>
              <w:right w:val="single" w:color="00000A" w:sz="6" w:space="0"/>
            </w:tcBorders>
            <w:tcMar>
              <w:top w:w="0" w:type="dxa"/>
              <w:left w:w="120" w:type="dxa"/>
              <w:bottom w:w="0" w:type="dxa"/>
              <w:right w:w="120" w:type="dxa"/>
            </w:tcMar>
            <w:vAlign w:val="center"/>
          </w:tcPr>
          <w:p w14:paraId="76431D7A">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r>
      <w:tr w14:paraId="58CD6394">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12110676">
            <w:pPr>
              <w:widowControl/>
              <w:wordWrap w:val="0"/>
              <w:spacing w:line="555" w:lineRule="atLeast"/>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行政规范性文件</w:t>
            </w:r>
          </w:p>
        </w:tc>
        <w:tc>
          <w:tcPr>
            <w:tcW w:w="2280" w:type="dxa"/>
            <w:tcBorders>
              <w:top w:val="nil"/>
              <w:left w:val="nil"/>
              <w:bottom w:val="single" w:color="00000A" w:sz="6" w:space="0"/>
              <w:right w:val="single" w:color="00000A" w:sz="6" w:space="0"/>
            </w:tcBorders>
            <w:tcMar>
              <w:top w:w="0" w:type="dxa"/>
              <w:left w:w="0" w:type="dxa"/>
              <w:bottom w:w="0" w:type="dxa"/>
              <w:right w:w="120" w:type="dxa"/>
            </w:tcMar>
            <w:vAlign w:val="center"/>
          </w:tcPr>
          <w:p w14:paraId="0B5436E4">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c>
          <w:tcPr>
            <w:tcW w:w="2055" w:type="dxa"/>
            <w:tcBorders>
              <w:top w:val="nil"/>
              <w:left w:val="nil"/>
              <w:bottom w:val="single" w:color="00000A" w:sz="6" w:space="0"/>
              <w:right w:val="single" w:color="00000A" w:sz="6" w:space="0"/>
            </w:tcBorders>
            <w:tcMar>
              <w:top w:w="0" w:type="dxa"/>
              <w:left w:w="120" w:type="dxa"/>
              <w:bottom w:w="0" w:type="dxa"/>
              <w:right w:w="120" w:type="dxa"/>
            </w:tcMar>
            <w:vAlign w:val="center"/>
          </w:tcPr>
          <w:p w14:paraId="1CE3248A">
            <w:pPr>
              <w:widowControl/>
              <w:wordWrap w:val="0"/>
              <w:spacing w:line="555" w:lineRule="atLeast"/>
              <w:ind w:firstLine="480"/>
              <w:jc w:val="center"/>
              <w:rPr>
                <w:rFonts w:ascii="Arial" w:hAnsi="Arial" w:eastAsia="宋体" w:cs="Arial"/>
                <w:color w:val="000000"/>
                <w:kern w:val="0"/>
                <w:sz w:val="27"/>
                <w:szCs w:val="27"/>
              </w:rPr>
            </w:pPr>
            <w:r>
              <w:rPr>
                <w:rFonts w:ascii="Arial" w:hAnsi="Arial" w:eastAsia="宋体" w:cs="Arial"/>
                <w:color w:val="000000"/>
                <w:kern w:val="0"/>
                <w:sz w:val="27"/>
                <w:szCs w:val="27"/>
              </w:rPr>
              <w:t>　 </w:t>
            </w:r>
            <w:r>
              <w:rPr>
                <w:rFonts w:hint="eastAsia" w:ascii="仿宋_GB2312" w:hAnsi="Arial" w:eastAsia="仿宋_GB2312" w:cs="Arial"/>
                <w:color w:val="000000"/>
                <w:kern w:val="0"/>
                <w:sz w:val="24"/>
                <w:szCs w:val="24"/>
              </w:rPr>
              <w:t>0</w:t>
            </w:r>
          </w:p>
        </w:tc>
        <w:tc>
          <w:tcPr>
            <w:tcW w:w="2685" w:type="dxa"/>
            <w:tcBorders>
              <w:top w:val="nil"/>
              <w:left w:val="nil"/>
              <w:bottom w:val="single" w:color="00000A" w:sz="6" w:space="0"/>
              <w:right w:val="single" w:color="00000A" w:sz="6" w:space="0"/>
            </w:tcBorders>
            <w:tcMar>
              <w:top w:w="0" w:type="dxa"/>
              <w:left w:w="120" w:type="dxa"/>
              <w:bottom w:w="0" w:type="dxa"/>
              <w:right w:w="120" w:type="dxa"/>
            </w:tcMar>
            <w:vAlign w:val="center"/>
          </w:tcPr>
          <w:p w14:paraId="79330FB2">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r>
      <w:tr w14:paraId="116C87F7">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9105" w:type="dxa"/>
            <w:gridSpan w:val="4"/>
            <w:tcBorders>
              <w:top w:val="nil"/>
              <w:left w:val="single" w:color="00000A" w:sz="6" w:space="0"/>
              <w:bottom w:val="single" w:color="auto" w:sz="6" w:space="0"/>
              <w:right w:val="single" w:color="000001" w:sz="6" w:space="0"/>
            </w:tcBorders>
            <w:shd w:val="clear" w:color="auto" w:fill="C6D9F1"/>
            <w:tcMar>
              <w:top w:w="0" w:type="dxa"/>
              <w:left w:w="120" w:type="dxa"/>
              <w:bottom w:w="0" w:type="dxa"/>
              <w:right w:w="120" w:type="dxa"/>
            </w:tcMar>
            <w:vAlign w:val="center"/>
          </w:tcPr>
          <w:p w14:paraId="19380BB6">
            <w:pPr>
              <w:widowControl/>
              <w:spacing w:line="555" w:lineRule="atLeast"/>
              <w:ind w:firstLine="480"/>
              <w:jc w:val="center"/>
              <w:rPr>
                <w:rFonts w:ascii="Arial" w:hAnsi="Arial" w:eastAsia="宋体" w:cs="Arial"/>
                <w:color w:val="000000"/>
                <w:kern w:val="0"/>
                <w:sz w:val="27"/>
                <w:szCs w:val="27"/>
              </w:rPr>
            </w:pPr>
            <w:r>
              <w:rPr>
                <w:rFonts w:hint="eastAsia" w:ascii="黑体" w:hAnsi="黑体" w:eastAsia="黑体" w:cs="Arial"/>
                <w:color w:val="000000"/>
                <w:kern w:val="0"/>
                <w:sz w:val="24"/>
                <w:szCs w:val="24"/>
              </w:rPr>
              <w:t>第二十条第（五）项</w:t>
            </w:r>
          </w:p>
        </w:tc>
      </w:tr>
      <w:tr w14:paraId="1974D923">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auto" w:sz="6" w:space="0"/>
              <w:bottom w:val="single" w:color="auto" w:sz="6" w:space="0"/>
              <w:right w:val="single" w:color="auto" w:sz="6" w:space="0"/>
            </w:tcBorders>
            <w:tcMar>
              <w:top w:w="0" w:type="dxa"/>
              <w:left w:w="120" w:type="dxa"/>
              <w:bottom w:w="0" w:type="dxa"/>
              <w:right w:w="120" w:type="dxa"/>
            </w:tcMar>
            <w:vAlign w:val="center"/>
          </w:tcPr>
          <w:p w14:paraId="3862DF0F">
            <w:pPr>
              <w:widowControl/>
              <w:wordWrap w:val="0"/>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信息内容</w:t>
            </w:r>
          </w:p>
        </w:tc>
        <w:tc>
          <w:tcPr>
            <w:tcW w:w="7020" w:type="dxa"/>
            <w:gridSpan w:val="3"/>
            <w:tcBorders>
              <w:top w:val="single" w:color="auto" w:sz="6" w:space="0"/>
              <w:left w:val="nil"/>
              <w:bottom w:val="single" w:color="auto" w:sz="6" w:space="0"/>
              <w:right w:val="single" w:color="auto" w:sz="6" w:space="0"/>
            </w:tcBorders>
            <w:tcMar>
              <w:top w:w="0" w:type="dxa"/>
              <w:left w:w="0" w:type="dxa"/>
              <w:bottom w:w="0" w:type="dxa"/>
              <w:right w:w="120" w:type="dxa"/>
            </w:tcMar>
            <w:vAlign w:val="center"/>
          </w:tcPr>
          <w:p w14:paraId="7B2E5B87">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本年处理决定数量</w:t>
            </w:r>
          </w:p>
        </w:tc>
      </w:tr>
      <w:tr w14:paraId="264CF179">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6C832775">
            <w:pPr>
              <w:widowControl/>
              <w:wordWrap w:val="0"/>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行政许可</w:t>
            </w:r>
          </w:p>
        </w:tc>
        <w:tc>
          <w:tcPr>
            <w:tcW w:w="7020" w:type="dxa"/>
            <w:gridSpan w:val="3"/>
            <w:tcBorders>
              <w:top w:val="nil"/>
              <w:left w:val="nil"/>
              <w:bottom w:val="single" w:color="00000A" w:sz="6" w:space="0"/>
              <w:right w:val="single" w:color="000001" w:sz="6" w:space="0"/>
            </w:tcBorders>
            <w:tcMar>
              <w:top w:w="0" w:type="dxa"/>
              <w:left w:w="0" w:type="dxa"/>
              <w:bottom w:w="0" w:type="dxa"/>
              <w:right w:w="120" w:type="dxa"/>
            </w:tcMar>
            <w:vAlign w:val="center"/>
          </w:tcPr>
          <w:p w14:paraId="70FB0AED">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r>
      <w:tr w14:paraId="3021BDF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9105" w:type="dxa"/>
            <w:gridSpan w:val="4"/>
            <w:tcBorders>
              <w:top w:val="nil"/>
              <w:left w:val="single" w:color="00000A" w:sz="6" w:space="0"/>
              <w:bottom w:val="single" w:color="00000A" w:sz="6" w:space="0"/>
              <w:right w:val="single" w:color="000001" w:sz="6" w:space="0"/>
            </w:tcBorders>
            <w:shd w:val="clear" w:color="auto" w:fill="C6D9F1"/>
            <w:tcMar>
              <w:top w:w="0" w:type="dxa"/>
              <w:left w:w="120" w:type="dxa"/>
              <w:bottom w:w="0" w:type="dxa"/>
              <w:right w:w="120" w:type="dxa"/>
            </w:tcMar>
            <w:vAlign w:val="center"/>
          </w:tcPr>
          <w:p w14:paraId="45E8DA65">
            <w:pPr>
              <w:widowControl/>
              <w:spacing w:line="555" w:lineRule="atLeast"/>
              <w:ind w:firstLine="480"/>
              <w:jc w:val="center"/>
              <w:rPr>
                <w:rFonts w:ascii="Arial" w:hAnsi="Arial" w:eastAsia="宋体" w:cs="Arial"/>
                <w:color w:val="000000"/>
                <w:kern w:val="0"/>
                <w:sz w:val="27"/>
                <w:szCs w:val="27"/>
              </w:rPr>
            </w:pPr>
            <w:r>
              <w:rPr>
                <w:rFonts w:hint="eastAsia" w:ascii="黑体" w:hAnsi="黑体" w:eastAsia="黑体" w:cs="Arial"/>
                <w:color w:val="000000"/>
                <w:kern w:val="0"/>
                <w:sz w:val="24"/>
                <w:szCs w:val="24"/>
              </w:rPr>
              <w:t>第二十条第（六）项</w:t>
            </w:r>
          </w:p>
        </w:tc>
      </w:tr>
      <w:tr w14:paraId="66CF38C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5FE4308B">
            <w:pPr>
              <w:widowControl/>
              <w:wordWrap w:val="0"/>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信息内容</w:t>
            </w:r>
          </w:p>
        </w:tc>
        <w:tc>
          <w:tcPr>
            <w:tcW w:w="7020" w:type="dxa"/>
            <w:gridSpan w:val="3"/>
            <w:tcBorders>
              <w:top w:val="single" w:color="00000A" w:sz="6" w:space="0"/>
              <w:left w:val="nil"/>
              <w:bottom w:val="single" w:color="00000A" w:sz="6" w:space="0"/>
              <w:right w:val="single" w:color="000001" w:sz="6" w:space="0"/>
            </w:tcBorders>
            <w:tcMar>
              <w:top w:w="0" w:type="dxa"/>
              <w:left w:w="0" w:type="dxa"/>
              <w:bottom w:w="0" w:type="dxa"/>
              <w:right w:w="120" w:type="dxa"/>
            </w:tcMar>
            <w:vAlign w:val="center"/>
          </w:tcPr>
          <w:p w14:paraId="263D2B7B">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本年处理决定数量</w:t>
            </w:r>
          </w:p>
        </w:tc>
      </w:tr>
      <w:tr w14:paraId="38B2AE9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11F3C429">
            <w:pPr>
              <w:widowControl/>
              <w:wordWrap w:val="0"/>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行政处罚</w:t>
            </w:r>
          </w:p>
        </w:tc>
        <w:tc>
          <w:tcPr>
            <w:tcW w:w="7020" w:type="dxa"/>
            <w:gridSpan w:val="3"/>
            <w:tcBorders>
              <w:top w:val="nil"/>
              <w:left w:val="nil"/>
              <w:bottom w:val="single" w:color="00000A" w:sz="6" w:space="0"/>
              <w:right w:val="single" w:color="000001" w:sz="6" w:space="0"/>
            </w:tcBorders>
            <w:tcMar>
              <w:top w:w="0" w:type="dxa"/>
              <w:left w:w="0" w:type="dxa"/>
              <w:bottom w:w="0" w:type="dxa"/>
              <w:right w:w="120" w:type="dxa"/>
            </w:tcMar>
            <w:vAlign w:val="center"/>
          </w:tcPr>
          <w:p w14:paraId="56C1D495">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r>
      <w:tr w14:paraId="1222C7F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43017838">
            <w:pPr>
              <w:widowControl/>
              <w:wordWrap w:val="0"/>
              <w:spacing w:line="555" w:lineRule="atLeast"/>
              <w:ind w:firstLine="480"/>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行政强制</w:t>
            </w:r>
          </w:p>
        </w:tc>
        <w:tc>
          <w:tcPr>
            <w:tcW w:w="7020" w:type="dxa"/>
            <w:gridSpan w:val="3"/>
            <w:tcBorders>
              <w:top w:val="nil"/>
              <w:left w:val="nil"/>
              <w:bottom w:val="single" w:color="00000A" w:sz="6" w:space="0"/>
              <w:right w:val="single" w:color="000001" w:sz="6" w:space="0"/>
            </w:tcBorders>
            <w:tcMar>
              <w:top w:w="0" w:type="dxa"/>
              <w:left w:w="0" w:type="dxa"/>
              <w:bottom w:w="0" w:type="dxa"/>
              <w:right w:w="120" w:type="dxa"/>
            </w:tcMar>
            <w:vAlign w:val="center"/>
          </w:tcPr>
          <w:p w14:paraId="618BFBD5">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r>
      <w:tr w14:paraId="3D7CBA3A">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9105" w:type="dxa"/>
            <w:gridSpan w:val="4"/>
            <w:tcBorders>
              <w:top w:val="nil"/>
              <w:left w:val="single" w:color="00000A" w:sz="6" w:space="0"/>
              <w:bottom w:val="single" w:color="00000A" w:sz="6" w:space="0"/>
              <w:right w:val="single" w:color="000001" w:sz="6" w:space="0"/>
            </w:tcBorders>
            <w:shd w:val="clear" w:color="auto" w:fill="C6D9F1"/>
            <w:tcMar>
              <w:top w:w="0" w:type="dxa"/>
              <w:left w:w="120" w:type="dxa"/>
              <w:bottom w:w="0" w:type="dxa"/>
              <w:right w:w="120" w:type="dxa"/>
            </w:tcMar>
            <w:vAlign w:val="center"/>
          </w:tcPr>
          <w:p w14:paraId="0B9CFA83">
            <w:pPr>
              <w:widowControl/>
              <w:wordWrap w:val="0"/>
              <w:spacing w:line="555" w:lineRule="atLeast"/>
              <w:ind w:firstLine="480"/>
              <w:jc w:val="center"/>
              <w:rPr>
                <w:rFonts w:ascii="Arial" w:hAnsi="Arial" w:eastAsia="宋体" w:cs="Arial"/>
                <w:color w:val="000000"/>
                <w:kern w:val="0"/>
                <w:sz w:val="27"/>
                <w:szCs w:val="27"/>
              </w:rPr>
            </w:pPr>
            <w:r>
              <w:rPr>
                <w:rFonts w:hint="eastAsia" w:ascii="黑体" w:hAnsi="黑体" w:eastAsia="黑体" w:cs="Arial"/>
                <w:color w:val="000000"/>
                <w:kern w:val="0"/>
                <w:sz w:val="24"/>
                <w:szCs w:val="24"/>
              </w:rPr>
              <w:t>第二十条第（八）项</w:t>
            </w:r>
          </w:p>
        </w:tc>
      </w:tr>
      <w:tr w14:paraId="603B1B5C">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1B4273AA">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信息内容</w:t>
            </w:r>
          </w:p>
        </w:tc>
        <w:tc>
          <w:tcPr>
            <w:tcW w:w="7020" w:type="dxa"/>
            <w:gridSpan w:val="3"/>
            <w:tcBorders>
              <w:top w:val="single" w:color="00000A" w:sz="6" w:space="0"/>
              <w:left w:val="nil"/>
              <w:bottom w:val="single" w:color="00000A" w:sz="6" w:space="0"/>
              <w:right w:val="single" w:color="000001" w:sz="6" w:space="0"/>
            </w:tcBorders>
            <w:tcMar>
              <w:top w:w="0" w:type="dxa"/>
              <w:left w:w="0" w:type="dxa"/>
              <w:bottom w:w="0" w:type="dxa"/>
              <w:right w:w="120" w:type="dxa"/>
            </w:tcMar>
            <w:vAlign w:val="center"/>
          </w:tcPr>
          <w:p w14:paraId="21AE562F">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本年收费金额（单位：万元）</w:t>
            </w:r>
          </w:p>
        </w:tc>
      </w:tr>
      <w:tr w14:paraId="3AD364BA">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45" w:hRule="atLeast"/>
        </w:trPr>
        <w:tc>
          <w:tcPr>
            <w:tcW w:w="2100" w:type="dxa"/>
            <w:tcBorders>
              <w:top w:val="nil"/>
              <w:left w:val="single" w:color="00000A" w:sz="6" w:space="0"/>
              <w:bottom w:val="single" w:color="00000A" w:sz="6" w:space="0"/>
              <w:right w:val="single" w:color="00000A" w:sz="6" w:space="0"/>
            </w:tcBorders>
            <w:tcMar>
              <w:top w:w="0" w:type="dxa"/>
              <w:left w:w="120" w:type="dxa"/>
              <w:bottom w:w="0" w:type="dxa"/>
              <w:right w:w="120" w:type="dxa"/>
            </w:tcMar>
            <w:vAlign w:val="center"/>
          </w:tcPr>
          <w:p w14:paraId="00F06736">
            <w:pPr>
              <w:widowControl/>
              <w:wordWrap w:val="0"/>
              <w:spacing w:line="555" w:lineRule="atLeast"/>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行政事业性收费</w:t>
            </w:r>
          </w:p>
        </w:tc>
        <w:tc>
          <w:tcPr>
            <w:tcW w:w="7020" w:type="dxa"/>
            <w:gridSpan w:val="3"/>
            <w:tcBorders>
              <w:top w:val="nil"/>
              <w:left w:val="nil"/>
              <w:bottom w:val="single" w:color="00000A" w:sz="6" w:space="0"/>
              <w:right w:val="single" w:color="000001" w:sz="6" w:space="0"/>
            </w:tcBorders>
            <w:tcMar>
              <w:top w:w="0" w:type="dxa"/>
              <w:left w:w="0" w:type="dxa"/>
              <w:bottom w:w="0" w:type="dxa"/>
              <w:right w:w="120" w:type="dxa"/>
            </w:tcMar>
            <w:vAlign w:val="center"/>
          </w:tcPr>
          <w:p w14:paraId="44E5B15B">
            <w:pPr>
              <w:widowControl/>
              <w:wordWrap w:val="0"/>
              <w:spacing w:line="555" w:lineRule="atLeast"/>
              <w:ind w:firstLine="480"/>
              <w:jc w:val="center"/>
              <w:rPr>
                <w:rFonts w:ascii="Arial" w:hAnsi="Arial" w:eastAsia="宋体" w:cs="Arial"/>
                <w:color w:val="000000"/>
                <w:kern w:val="0"/>
                <w:sz w:val="27"/>
                <w:szCs w:val="27"/>
              </w:rPr>
            </w:pPr>
            <w:r>
              <w:rPr>
                <w:rFonts w:hint="eastAsia" w:ascii="仿宋_GB2312" w:hAnsi="Arial" w:eastAsia="仿宋_GB2312" w:cs="Arial"/>
                <w:color w:val="000000"/>
                <w:kern w:val="0"/>
                <w:sz w:val="24"/>
                <w:szCs w:val="24"/>
              </w:rPr>
              <w:t>0</w:t>
            </w:r>
          </w:p>
        </w:tc>
      </w:tr>
    </w:tbl>
    <w:p w14:paraId="6D7E3822">
      <w:pPr>
        <w:widowControl/>
        <w:spacing w:before="100" w:beforeAutospacing="1" w:after="100" w:afterAutospacing="1" w:line="555" w:lineRule="atLeast"/>
        <w:ind w:firstLine="640" w:firstLineChars="200"/>
        <w:jc w:val="left"/>
        <w:rPr>
          <w:rFonts w:ascii="Arial" w:hAnsi="Arial" w:eastAsia="宋体" w:cs="Arial"/>
          <w:color w:val="000000"/>
          <w:kern w:val="0"/>
          <w:sz w:val="27"/>
          <w:szCs w:val="27"/>
        </w:rPr>
      </w:pPr>
      <w:r>
        <w:rPr>
          <w:rFonts w:hint="eastAsia" w:ascii="黑体" w:hAnsi="黑体" w:eastAsia="黑体" w:cs="Arial"/>
          <w:color w:val="000000"/>
          <w:kern w:val="0"/>
          <w:sz w:val="32"/>
          <w:szCs w:val="32"/>
        </w:rPr>
        <w:t>三、收到和处理政府信息公开申请情况统计表</w:t>
      </w:r>
    </w:p>
    <w:tbl>
      <w:tblPr>
        <w:tblStyle w:val="6"/>
        <w:tblW w:w="0" w:type="auto"/>
        <w:tblInd w:w="0" w:type="dxa"/>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612"/>
        <w:gridCol w:w="741"/>
        <w:gridCol w:w="1688"/>
        <w:gridCol w:w="884"/>
        <w:gridCol w:w="709"/>
        <w:gridCol w:w="812"/>
        <w:gridCol w:w="748"/>
        <w:gridCol w:w="748"/>
        <w:gridCol w:w="605"/>
        <w:gridCol w:w="767"/>
      </w:tblGrid>
      <w:tr w14:paraId="07F5CADA">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3285" w:type="dxa"/>
            <w:gridSpan w:val="3"/>
            <w:vMerge w:val="restart"/>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6239FC3B">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（本列数据的勾稽关系为：第一项加第二项之和，等于第三项加第四项之和）</w:t>
            </w:r>
          </w:p>
        </w:tc>
        <w:tc>
          <w:tcPr>
            <w:tcW w:w="5805" w:type="dxa"/>
            <w:gridSpan w:val="7"/>
            <w:tcBorders>
              <w:top w:val="single" w:color="auto" w:sz="6" w:space="0"/>
              <w:left w:val="nil"/>
              <w:bottom w:val="single" w:color="auto" w:sz="6" w:space="0"/>
              <w:right w:val="single" w:color="auto" w:sz="6" w:space="0"/>
            </w:tcBorders>
            <w:tcMar>
              <w:top w:w="0" w:type="dxa"/>
              <w:left w:w="0" w:type="dxa"/>
              <w:bottom w:w="0" w:type="dxa"/>
              <w:right w:w="0" w:type="dxa"/>
            </w:tcMar>
          </w:tcPr>
          <w:p w14:paraId="03F1D94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申请人情况</w:t>
            </w:r>
          </w:p>
        </w:tc>
      </w:tr>
      <w:tr w14:paraId="2687F57A">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gridSpan w:val="3"/>
            <w:vMerge w:val="continue"/>
            <w:tcBorders>
              <w:top w:val="single" w:color="auto" w:sz="6" w:space="0"/>
              <w:left w:val="single" w:color="auto" w:sz="6" w:space="0"/>
              <w:bottom w:val="single" w:color="auto" w:sz="6" w:space="0"/>
              <w:right w:val="single" w:color="auto" w:sz="6" w:space="0"/>
            </w:tcBorders>
            <w:vAlign w:val="center"/>
          </w:tcPr>
          <w:p w14:paraId="4039E10D">
            <w:pPr>
              <w:widowControl/>
              <w:jc w:val="left"/>
              <w:rPr>
                <w:rFonts w:ascii="Arial" w:hAnsi="Arial" w:eastAsia="宋体" w:cs="Arial"/>
                <w:color w:val="000000"/>
                <w:kern w:val="0"/>
                <w:sz w:val="27"/>
                <w:szCs w:val="27"/>
              </w:rPr>
            </w:pPr>
          </w:p>
        </w:tc>
        <w:tc>
          <w:tcPr>
            <w:tcW w:w="975" w:type="dxa"/>
            <w:vMerge w:val="restart"/>
            <w:tcBorders>
              <w:top w:val="nil"/>
              <w:left w:val="nil"/>
              <w:bottom w:val="single" w:color="auto" w:sz="6" w:space="0"/>
              <w:right w:val="single" w:color="auto" w:sz="6" w:space="0"/>
            </w:tcBorders>
            <w:tcMar>
              <w:top w:w="0" w:type="dxa"/>
              <w:left w:w="0" w:type="dxa"/>
              <w:bottom w:w="0" w:type="dxa"/>
              <w:right w:w="0" w:type="dxa"/>
            </w:tcMar>
            <w:vAlign w:val="center"/>
          </w:tcPr>
          <w:p w14:paraId="3E6F76D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自然人</w:t>
            </w:r>
          </w:p>
        </w:tc>
        <w:tc>
          <w:tcPr>
            <w:tcW w:w="3990" w:type="dxa"/>
            <w:gridSpan w:val="5"/>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7B3122F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法人或其他组织</w:t>
            </w:r>
          </w:p>
        </w:tc>
        <w:tc>
          <w:tcPr>
            <w:tcW w:w="840" w:type="dxa"/>
            <w:vMerge w:val="restart"/>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7200DAD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合计</w:t>
            </w:r>
          </w:p>
        </w:tc>
      </w:tr>
      <w:tr w14:paraId="174AC1DE">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gridSpan w:val="3"/>
            <w:vMerge w:val="continue"/>
            <w:tcBorders>
              <w:top w:val="single" w:color="auto" w:sz="6" w:space="0"/>
              <w:left w:val="single" w:color="auto" w:sz="6" w:space="0"/>
              <w:bottom w:val="single" w:color="auto" w:sz="6" w:space="0"/>
              <w:right w:val="single" w:color="auto" w:sz="6" w:space="0"/>
            </w:tcBorders>
            <w:vAlign w:val="center"/>
          </w:tcPr>
          <w:p w14:paraId="26D04894">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42739C3F">
            <w:pPr>
              <w:widowControl/>
              <w:jc w:val="left"/>
              <w:rPr>
                <w:rFonts w:ascii="Arial" w:hAnsi="Arial" w:eastAsia="宋体" w:cs="Arial"/>
                <w:color w:val="000000"/>
                <w:kern w:val="0"/>
                <w:sz w:val="27"/>
                <w:szCs w:val="27"/>
              </w:rPr>
            </w:pP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54281CA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商业</w:t>
            </w:r>
          </w:p>
          <w:p w14:paraId="61EF2B5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企业</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2B97766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科研</w:t>
            </w:r>
          </w:p>
          <w:p w14:paraId="32DD29C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机构</w:t>
            </w:r>
          </w:p>
        </w:tc>
        <w:tc>
          <w:tcPr>
            <w:tcW w:w="825"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1D41D82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社会公</w:t>
            </w:r>
          </w:p>
          <w:p w14:paraId="6572B81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益组织</w:t>
            </w:r>
          </w:p>
        </w:tc>
        <w:tc>
          <w:tcPr>
            <w:tcW w:w="825"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101CBF6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法律服</w:t>
            </w:r>
          </w:p>
          <w:p w14:paraId="17F0A18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务机构</w:t>
            </w:r>
          </w:p>
        </w:tc>
        <w:tc>
          <w:tcPr>
            <w:tcW w:w="66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3634D18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其他</w:t>
            </w:r>
          </w:p>
        </w:tc>
        <w:tc>
          <w:tcPr>
            <w:tcW w:w="0" w:type="auto"/>
            <w:vMerge w:val="continue"/>
            <w:tcBorders>
              <w:top w:val="single" w:color="auto" w:sz="6" w:space="0"/>
              <w:left w:val="nil"/>
              <w:bottom w:val="single" w:color="auto" w:sz="6" w:space="0"/>
              <w:right w:val="single" w:color="auto" w:sz="6" w:space="0"/>
            </w:tcBorders>
            <w:vAlign w:val="center"/>
          </w:tcPr>
          <w:p w14:paraId="5B973DA8">
            <w:pPr>
              <w:widowControl/>
              <w:jc w:val="left"/>
              <w:rPr>
                <w:rFonts w:ascii="Arial" w:hAnsi="Arial" w:eastAsia="宋体" w:cs="Arial"/>
                <w:color w:val="000000"/>
                <w:kern w:val="0"/>
                <w:sz w:val="27"/>
                <w:szCs w:val="27"/>
              </w:rPr>
            </w:pPr>
          </w:p>
        </w:tc>
      </w:tr>
      <w:tr w14:paraId="385773F4">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3285" w:type="dxa"/>
            <w:gridSpan w:val="3"/>
            <w:tcBorders>
              <w:top w:val="nil"/>
              <w:left w:val="single" w:color="auto" w:sz="6" w:space="0"/>
              <w:bottom w:val="single" w:color="auto" w:sz="6" w:space="0"/>
              <w:right w:val="single" w:color="auto" w:sz="6" w:space="0"/>
            </w:tcBorders>
            <w:tcMar>
              <w:top w:w="0" w:type="dxa"/>
              <w:left w:w="0" w:type="dxa"/>
              <w:bottom w:w="0" w:type="dxa"/>
              <w:right w:w="0" w:type="dxa"/>
            </w:tcMar>
          </w:tcPr>
          <w:p w14:paraId="5600C067">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一、本年新收政府信息公开申请数量</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23A2310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2</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39ED9B4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34D8177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16F2EA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3887F91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64265AF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35896F2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2</w:t>
            </w:r>
          </w:p>
        </w:tc>
      </w:tr>
      <w:tr w14:paraId="7AFDB522">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3285" w:type="dxa"/>
            <w:gridSpan w:val="3"/>
            <w:tcBorders>
              <w:top w:val="nil"/>
              <w:left w:val="single" w:color="auto" w:sz="6" w:space="0"/>
              <w:bottom w:val="single" w:color="auto" w:sz="6" w:space="0"/>
              <w:right w:val="single" w:color="auto" w:sz="6" w:space="0"/>
            </w:tcBorders>
            <w:tcMar>
              <w:top w:w="0" w:type="dxa"/>
              <w:left w:w="0" w:type="dxa"/>
              <w:bottom w:w="0" w:type="dxa"/>
              <w:right w:w="0" w:type="dxa"/>
            </w:tcMar>
          </w:tcPr>
          <w:p w14:paraId="1D74087D">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二、上年结转政府信息公开申请数量</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1B3928A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0ACDB2D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26B0F86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BDE449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0671A41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28EF842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791E105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42B8100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630" w:type="dxa"/>
            <w:vMerge w:val="restart"/>
            <w:tcBorders>
              <w:top w:val="nil"/>
              <w:left w:val="single" w:color="auto" w:sz="6" w:space="0"/>
              <w:bottom w:val="single" w:color="auto" w:sz="6" w:space="0"/>
              <w:right w:val="single" w:color="auto" w:sz="6" w:space="0"/>
            </w:tcBorders>
            <w:tcMar>
              <w:top w:w="0" w:type="dxa"/>
              <w:left w:w="0" w:type="dxa"/>
              <w:bottom w:w="0" w:type="dxa"/>
              <w:right w:w="0" w:type="dxa"/>
            </w:tcMar>
            <w:vAlign w:val="center"/>
          </w:tcPr>
          <w:p w14:paraId="4F6B4D1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三、本年度办理结果</w:t>
            </w:r>
          </w:p>
        </w:tc>
        <w:tc>
          <w:tcPr>
            <w:tcW w:w="2655" w:type="dxa"/>
            <w:gridSpan w:val="2"/>
            <w:tcBorders>
              <w:top w:val="nil"/>
              <w:left w:val="nil"/>
              <w:bottom w:val="single" w:color="auto" w:sz="6" w:space="0"/>
              <w:right w:val="single" w:color="auto" w:sz="6" w:space="0"/>
            </w:tcBorders>
            <w:tcMar>
              <w:top w:w="0" w:type="dxa"/>
              <w:left w:w="0" w:type="dxa"/>
              <w:bottom w:w="0" w:type="dxa"/>
              <w:right w:w="0" w:type="dxa"/>
            </w:tcMar>
            <w:vAlign w:val="center"/>
          </w:tcPr>
          <w:p w14:paraId="70C252AB">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(一)予以公开</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4A2832D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2</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4FBF28A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5FA9F3B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3422AC7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44BCDA8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72A0F73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384F204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2</w:t>
            </w:r>
          </w:p>
        </w:tc>
      </w:tr>
      <w:tr w14:paraId="12F6D8AB">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4D24FEE4">
            <w:pPr>
              <w:widowControl/>
              <w:jc w:val="left"/>
              <w:rPr>
                <w:rFonts w:ascii="Arial" w:hAnsi="Arial" w:eastAsia="宋体" w:cs="Arial"/>
                <w:color w:val="000000"/>
                <w:kern w:val="0"/>
                <w:sz w:val="27"/>
                <w:szCs w:val="27"/>
              </w:rPr>
            </w:pPr>
          </w:p>
        </w:tc>
        <w:tc>
          <w:tcPr>
            <w:tcW w:w="2655" w:type="dxa"/>
            <w:gridSpan w:val="2"/>
            <w:tcBorders>
              <w:top w:val="nil"/>
              <w:left w:val="nil"/>
              <w:bottom w:val="single" w:color="auto" w:sz="6" w:space="0"/>
              <w:right w:val="single" w:color="auto" w:sz="6" w:space="0"/>
            </w:tcBorders>
            <w:tcMar>
              <w:top w:w="0" w:type="dxa"/>
              <w:left w:w="0" w:type="dxa"/>
              <w:bottom w:w="0" w:type="dxa"/>
              <w:right w:w="0" w:type="dxa"/>
            </w:tcMar>
          </w:tcPr>
          <w:p w14:paraId="2BAB4A2F">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(二)部分公开(区分处理的，只计这一情形，不计其他情形)</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2B8873F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3EE2C9C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53491BC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7FAA538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6C22BB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0828B78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00696ED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28C769A3">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4899E7B2">
            <w:pPr>
              <w:widowControl/>
              <w:jc w:val="left"/>
              <w:rPr>
                <w:rFonts w:ascii="Arial" w:hAnsi="Arial" w:eastAsia="宋体" w:cs="Arial"/>
                <w:color w:val="000000"/>
                <w:kern w:val="0"/>
                <w:sz w:val="27"/>
                <w:szCs w:val="27"/>
              </w:rPr>
            </w:pPr>
          </w:p>
        </w:tc>
        <w:tc>
          <w:tcPr>
            <w:tcW w:w="780" w:type="dxa"/>
            <w:vMerge w:val="restart"/>
            <w:tcBorders>
              <w:top w:val="nil"/>
              <w:left w:val="nil"/>
              <w:bottom w:val="single" w:color="auto" w:sz="6" w:space="0"/>
              <w:right w:val="single" w:color="auto" w:sz="6" w:space="0"/>
            </w:tcBorders>
            <w:tcMar>
              <w:top w:w="0" w:type="dxa"/>
              <w:left w:w="0" w:type="dxa"/>
              <w:bottom w:w="0" w:type="dxa"/>
              <w:right w:w="0" w:type="dxa"/>
            </w:tcMar>
            <w:vAlign w:val="center"/>
          </w:tcPr>
          <w:p w14:paraId="173CC8C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(三)</w:t>
            </w:r>
          </w:p>
          <w:p w14:paraId="64A4812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不予</w:t>
            </w:r>
          </w:p>
          <w:p w14:paraId="5FBC2A8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公开</w:t>
            </w:r>
          </w:p>
        </w:tc>
        <w:tc>
          <w:tcPr>
            <w:tcW w:w="1875" w:type="dxa"/>
            <w:tcBorders>
              <w:top w:val="nil"/>
              <w:left w:val="nil"/>
              <w:bottom w:val="single" w:color="auto" w:sz="6" w:space="0"/>
              <w:right w:val="single" w:color="auto" w:sz="6" w:space="0"/>
            </w:tcBorders>
            <w:tcMar>
              <w:top w:w="0" w:type="dxa"/>
              <w:left w:w="0" w:type="dxa"/>
              <w:bottom w:w="0" w:type="dxa"/>
              <w:right w:w="0" w:type="dxa"/>
            </w:tcMar>
            <w:vAlign w:val="center"/>
          </w:tcPr>
          <w:p w14:paraId="43DF1629">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1.属于国家秘密</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1B691C8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7A98154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52512D0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44FB541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DA0385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4C59369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497AF99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1BD1E4A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4EEC2BCF">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688EB209">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79E288CD">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2.其他法律行政法规禁止公开</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1E436AB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3AFCCAE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6B7ABF8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088A988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029DF2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3D1BBE5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701095D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69AF6623">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33B421C9">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2F418A91">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4DCA76FD">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3.危及“三安全一稳定”</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6415304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0A42CA3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5E4B193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6E74240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AA79C1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72CD3AB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37657A5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3F1960B2">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4D911761">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7C8B6E8F">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2BE576C3">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4.保护第三方合法权益</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7F50E17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2F489D4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1161463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30D6E29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E4C74A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4747CF7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30FAA5F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2B4C5C4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2451E168">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07632AF3">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2DF92236">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5.属于三类内部事务信息</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718CDF5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200A2B0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4923278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FD83FC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150C3F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4B100F0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7042D3A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2F765FC7">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4D83BD5D">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2F879C87">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0482A34E">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6.属于四类过程性信息</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259DBB6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4D96A78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2DED87F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4A0959B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55C97F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52618E2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59EE78E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7491DEBA">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7C920421">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72BBCBDB">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4AD704FA">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7.属于行政执法案卷</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1540EC4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254905D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69C639A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7D76589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6E58DC0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6FE000C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33317B4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49E87F23">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90" w:hRule="atLeast"/>
        </w:trPr>
        <w:tc>
          <w:tcPr>
            <w:tcW w:w="0" w:type="auto"/>
            <w:vMerge w:val="continue"/>
            <w:tcBorders>
              <w:top w:val="nil"/>
              <w:left w:val="single" w:color="auto" w:sz="6" w:space="0"/>
              <w:bottom w:val="single" w:color="auto" w:sz="6" w:space="0"/>
              <w:right w:val="single" w:color="auto" w:sz="6" w:space="0"/>
            </w:tcBorders>
            <w:vAlign w:val="center"/>
          </w:tcPr>
          <w:p w14:paraId="0FBC771C">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24CB3612">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13FBA8BB">
            <w:pPr>
              <w:widowControl/>
              <w:wordWrap w:val="0"/>
              <w:spacing w:after="225" w:line="9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8.属于行政查询事项</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717705E4">
            <w:pPr>
              <w:widowControl/>
              <w:wordWrap w:val="0"/>
              <w:spacing w:after="225" w:line="9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7EE6F168">
            <w:pPr>
              <w:widowControl/>
              <w:wordWrap w:val="0"/>
              <w:spacing w:after="225" w:line="9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0C1B0714">
            <w:pPr>
              <w:widowControl/>
              <w:wordWrap w:val="0"/>
              <w:spacing w:after="225" w:line="9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099308ED">
            <w:pPr>
              <w:widowControl/>
              <w:wordWrap w:val="0"/>
              <w:spacing w:after="225" w:line="9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BF326CA">
            <w:pPr>
              <w:widowControl/>
              <w:wordWrap w:val="0"/>
              <w:spacing w:after="225" w:line="9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129BF95E">
            <w:pPr>
              <w:widowControl/>
              <w:wordWrap w:val="0"/>
              <w:spacing w:after="225" w:line="9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06A4E212">
            <w:pPr>
              <w:widowControl/>
              <w:wordWrap w:val="0"/>
              <w:spacing w:after="225" w:line="9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16B8DCB9">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359D6BFA">
            <w:pPr>
              <w:widowControl/>
              <w:jc w:val="left"/>
              <w:rPr>
                <w:rFonts w:ascii="Arial" w:hAnsi="Arial" w:eastAsia="宋体" w:cs="Arial"/>
                <w:color w:val="000000"/>
                <w:kern w:val="0"/>
                <w:sz w:val="27"/>
                <w:szCs w:val="27"/>
              </w:rPr>
            </w:pPr>
          </w:p>
        </w:tc>
        <w:tc>
          <w:tcPr>
            <w:tcW w:w="780" w:type="dxa"/>
            <w:vMerge w:val="restart"/>
            <w:tcBorders>
              <w:top w:val="nil"/>
              <w:left w:val="nil"/>
              <w:bottom w:val="single" w:color="auto" w:sz="6" w:space="0"/>
              <w:right w:val="single" w:color="auto" w:sz="6" w:space="0"/>
            </w:tcBorders>
            <w:tcMar>
              <w:top w:w="0" w:type="dxa"/>
              <w:left w:w="0" w:type="dxa"/>
              <w:bottom w:w="0" w:type="dxa"/>
              <w:right w:w="0" w:type="dxa"/>
            </w:tcMar>
            <w:vAlign w:val="center"/>
          </w:tcPr>
          <w:p w14:paraId="6B51662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(四)</w:t>
            </w:r>
          </w:p>
          <w:p w14:paraId="34E8892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无法</w:t>
            </w:r>
          </w:p>
          <w:p w14:paraId="148778C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提供</w:t>
            </w: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6600F829">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1.本机关不掌握相关政府信息</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1BC3FC0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1D860CF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3FC8C70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553EB5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C7F758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2AF1520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42DCE25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4D2A72D8">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3CE6981B">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377A70FA">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5C7E39DB">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2.没有现成信息需要另行制作</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7476231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1960503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474EF19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0F9BBBD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3D3075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6265C26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0B8F382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1A4FDDD2">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690" w:hRule="atLeast"/>
        </w:trPr>
        <w:tc>
          <w:tcPr>
            <w:tcW w:w="0" w:type="auto"/>
            <w:vMerge w:val="continue"/>
            <w:tcBorders>
              <w:top w:val="nil"/>
              <w:left w:val="single" w:color="auto" w:sz="6" w:space="0"/>
              <w:bottom w:val="single" w:color="auto" w:sz="6" w:space="0"/>
              <w:right w:val="single" w:color="auto" w:sz="6" w:space="0"/>
            </w:tcBorders>
            <w:vAlign w:val="center"/>
          </w:tcPr>
          <w:p w14:paraId="7201E49A">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194B28BF">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60DCDBFF">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3.补正后申请内容仍不明确</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6FC4F81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0667F80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07DBF3D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64E8AA2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912BE0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527E75C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004073F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208F5DD7">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630" w:type="dxa"/>
            <w:vMerge w:val="restart"/>
            <w:tcBorders>
              <w:top w:val="nil"/>
              <w:left w:val="single" w:color="auto" w:sz="6" w:space="0"/>
              <w:bottom w:val="single" w:color="auto" w:sz="6" w:space="0"/>
              <w:right w:val="single" w:color="auto" w:sz="6" w:space="0"/>
            </w:tcBorders>
            <w:tcMar>
              <w:top w:w="0" w:type="dxa"/>
              <w:left w:w="0" w:type="dxa"/>
              <w:bottom w:w="0" w:type="dxa"/>
              <w:right w:w="0" w:type="dxa"/>
            </w:tcMar>
            <w:vAlign w:val="center"/>
          </w:tcPr>
          <w:p w14:paraId="3A05D81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三、本年度办理结果</w:t>
            </w:r>
          </w:p>
        </w:tc>
        <w:tc>
          <w:tcPr>
            <w:tcW w:w="780" w:type="dxa"/>
            <w:vMerge w:val="restart"/>
            <w:tcBorders>
              <w:top w:val="nil"/>
              <w:left w:val="nil"/>
              <w:bottom w:val="single" w:color="auto" w:sz="6" w:space="0"/>
              <w:right w:val="single" w:color="auto" w:sz="6" w:space="0"/>
            </w:tcBorders>
            <w:tcMar>
              <w:top w:w="0" w:type="dxa"/>
              <w:left w:w="0" w:type="dxa"/>
              <w:bottom w:w="0" w:type="dxa"/>
              <w:right w:w="0" w:type="dxa"/>
            </w:tcMar>
            <w:vAlign w:val="center"/>
          </w:tcPr>
          <w:p w14:paraId="16F97CE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(五)</w:t>
            </w:r>
          </w:p>
          <w:p w14:paraId="5FBE628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不予</w:t>
            </w:r>
          </w:p>
          <w:p w14:paraId="532F037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处理</w:t>
            </w: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672DCEDC">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1.信访举报投诉类申请</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730F676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45911D8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0AFEB03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4B47FD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2ADEC2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064FFC6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0378FFA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69CF06D3">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284D068F">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5999FE0E">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vAlign w:val="center"/>
          </w:tcPr>
          <w:p w14:paraId="43230DC6">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2.重复申请</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12C80AF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46AB944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5B453EC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43B3393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4402487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68F6156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4E9CD0E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3D12E9DD">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5FB423F8">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459B795A">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473BD56B">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3.要求提供公开出版物</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513BA01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773F72F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4B227F6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728BE5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EDB8B6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3871B85A">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6EE4742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6A777F1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6F3C6120">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2DFCEF78">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54D7A8DD">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4.无正当理由大量反复申请</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316FC6B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26C7F89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096FB52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36CE81D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39BBB2F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3F69FDD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1564E5F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2338D01D">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855" w:hRule="atLeast"/>
        </w:trPr>
        <w:tc>
          <w:tcPr>
            <w:tcW w:w="0" w:type="auto"/>
            <w:vMerge w:val="continue"/>
            <w:tcBorders>
              <w:top w:val="nil"/>
              <w:left w:val="single" w:color="auto" w:sz="6" w:space="0"/>
              <w:bottom w:val="single" w:color="auto" w:sz="6" w:space="0"/>
              <w:right w:val="single" w:color="auto" w:sz="6" w:space="0"/>
            </w:tcBorders>
            <w:vAlign w:val="center"/>
          </w:tcPr>
          <w:p w14:paraId="4BBEA9EC">
            <w:pPr>
              <w:widowControl/>
              <w:jc w:val="left"/>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5BDA7C9C">
            <w:pPr>
              <w:widowControl/>
              <w:jc w:val="left"/>
              <w:rPr>
                <w:rFonts w:ascii="Arial" w:hAnsi="Arial" w:eastAsia="宋体" w:cs="Arial"/>
                <w:color w:val="000000"/>
                <w:kern w:val="0"/>
                <w:sz w:val="27"/>
                <w:szCs w:val="27"/>
              </w:rPr>
            </w:pPr>
          </w:p>
        </w:tc>
        <w:tc>
          <w:tcPr>
            <w:tcW w:w="1875" w:type="dxa"/>
            <w:tcBorders>
              <w:top w:val="nil"/>
              <w:left w:val="nil"/>
              <w:bottom w:val="single" w:color="auto" w:sz="6" w:space="0"/>
              <w:right w:val="single" w:color="auto" w:sz="6" w:space="0"/>
            </w:tcBorders>
            <w:tcMar>
              <w:top w:w="0" w:type="dxa"/>
              <w:left w:w="0" w:type="dxa"/>
              <w:bottom w:w="0" w:type="dxa"/>
              <w:right w:w="0" w:type="dxa"/>
            </w:tcMar>
          </w:tcPr>
          <w:p w14:paraId="072E0832">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5.要求行政机关确认或重新出具已取信息</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6900BC4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0616FD8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4D17444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22888F4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154DA1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592DEB9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580175B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5060F039">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15D45BFD">
            <w:pPr>
              <w:widowControl/>
              <w:jc w:val="left"/>
              <w:rPr>
                <w:rFonts w:ascii="Arial" w:hAnsi="Arial" w:eastAsia="宋体" w:cs="Arial"/>
                <w:color w:val="000000"/>
                <w:kern w:val="0"/>
                <w:sz w:val="27"/>
                <w:szCs w:val="27"/>
              </w:rPr>
            </w:pPr>
          </w:p>
        </w:tc>
        <w:tc>
          <w:tcPr>
            <w:tcW w:w="2655" w:type="dxa"/>
            <w:gridSpan w:val="2"/>
            <w:tcBorders>
              <w:top w:val="nil"/>
              <w:left w:val="nil"/>
              <w:bottom w:val="single" w:color="auto" w:sz="6" w:space="0"/>
              <w:right w:val="single" w:color="auto" w:sz="6" w:space="0"/>
            </w:tcBorders>
            <w:tcMar>
              <w:top w:w="0" w:type="dxa"/>
              <w:left w:w="0" w:type="dxa"/>
              <w:bottom w:w="0" w:type="dxa"/>
              <w:right w:w="0" w:type="dxa"/>
            </w:tcMar>
            <w:vAlign w:val="center"/>
          </w:tcPr>
          <w:p w14:paraId="3379F9F4">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(六)其他处理</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2346196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109E114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2B7027C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CB6273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42A41EE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3A836C9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2B439E2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r w14:paraId="2729CFAB">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72BEAF15">
            <w:pPr>
              <w:widowControl/>
              <w:jc w:val="left"/>
              <w:rPr>
                <w:rFonts w:ascii="Arial" w:hAnsi="Arial" w:eastAsia="宋体" w:cs="Arial"/>
                <w:color w:val="000000"/>
                <w:kern w:val="0"/>
                <w:sz w:val="27"/>
                <w:szCs w:val="27"/>
              </w:rPr>
            </w:pPr>
          </w:p>
        </w:tc>
        <w:tc>
          <w:tcPr>
            <w:tcW w:w="2655" w:type="dxa"/>
            <w:gridSpan w:val="2"/>
            <w:tcBorders>
              <w:top w:val="nil"/>
              <w:left w:val="nil"/>
              <w:bottom w:val="single" w:color="auto" w:sz="6" w:space="0"/>
              <w:right w:val="single" w:color="auto" w:sz="6" w:space="0"/>
            </w:tcBorders>
            <w:tcMar>
              <w:top w:w="0" w:type="dxa"/>
              <w:left w:w="0" w:type="dxa"/>
              <w:bottom w:w="0" w:type="dxa"/>
              <w:right w:w="0" w:type="dxa"/>
            </w:tcMar>
            <w:vAlign w:val="center"/>
          </w:tcPr>
          <w:p w14:paraId="5E38D0F1">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(七)总计</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168AE52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2</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67479E3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1C47F73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1DDF22F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79C2804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0B0F3ACE">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3BC16C0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2</w:t>
            </w:r>
          </w:p>
        </w:tc>
      </w:tr>
      <w:tr w14:paraId="067C56B6">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3285" w:type="dxa"/>
            <w:gridSpan w:val="3"/>
            <w:tcBorders>
              <w:top w:val="nil"/>
              <w:left w:val="single" w:color="auto" w:sz="6" w:space="0"/>
              <w:bottom w:val="single" w:color="auto" w:sz="6" w:space="0"/>
              <w:right w:val="single" w:color="auto" w:sz="6" w:space="0"/>
            </w:tcBorders>
            <w:tcMar>
              <w:top w:w="0" w:type="dxa"/>
              <w:left w:w="0" w:type="dxa"/>
              <w:bottom w:w="0" w:type="dxa"/>
              <w:right w:w="0" w:type="dxa"/>
            </w:tcMar>
            <w:vAlign w:val="center"/>
          </w:tcPr>
          <w:p w14:paraId="0762701D">
            <w:pPr>
              <w:widowControl/>
              <w:wordWrap w:val="0"/>
              <w:spacing w:after="225" w:line="360" w:lineRule="atLeast"/>
              <w:jc w:val="left"/>
              <w:rPr>
                <w:rFonts w:ascii="Arial" w:hAnsi="Arial" w:eastAsia="宋体" w:cs="Arial"/>
                <w:color w:val="000000"/>
                <w:kern w:val="0"/>
                <w:sz w:val="27"/>
                <w:szCs w:val="27"/>
              </w:rPr>
            </w:pPr>
            <w:r>
              <w:rPr>
                <w:rFonts w:hint="eastAsia" w:ascii="仿宋" w:hAnsi="仿宋" w:eastAsia="仿宋" w:cs="Arial"/>
                <w:color w:val="000000"/>
                <w:kern w:val="0"/>
                <w:sz w:val="24"/>
                <w:szCs w:val="24"/>
              </w:rPr>
              <w:t>四、结转下年度继续办理</w:t>
            </w:r>
          </w:p>
        </w:tc>
        <w:tc>
          <w:tcPr>
            <w:tcW w:w="975" w:type="dxa"/>
            <w:tcBorders>
              <w:top w:val="nil"/>
              <w:left w:val="nil"/>
              <w:bottom w:val="single" w:color="auto" w:sz="6" w:space="0"/>
              <w:right w:val="single" w:color="auto" w:sz="6" w:space="0"/>
            </w:tcBorders>
            <w:tcMar>
              <w:top w:w="0" w:type="dxa"/>
              <w:left w:w="0" w:type="dxa"/>
              <w:bottom w:w="0" w:type="dxa"/>
              <w:right w:w="0" w:type="dxa"/>
            </w:tcMar>
            <w:vAlign w:val="center"/>
          </w:tcPr>
          <w:p w14:paraId="6A72C64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780" w:type="dxa"/>
            <w:tcBorders>
              <w:top w:val="nil"/>
              <w:left w:val="nil"/>
              <w:bottom w:val="single" w:color="auto" w:sz="6" w:space="0"/>
              <w:right w:val="single" w:color="auto" w:sz="6" w:space="0"/>
            </w:tcBorders>
            <w:tcMar>
              <w:top w:w="0" w:type="dxa"/>
              <w:left w:w="0" w:type="dxa"/>
              <w:bottom w:w="0" w:type="dxa"/>
              <w:right w:w="0" w:type="dxa"/>
            </w:tcMar>
            <w:vAlign w:val="center"/>
          </w:tcPr>
          <w:p w14:paraId="7B78455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900" w:type="dxa"/>
            <w:tcBorders>
              <w:top w:val="nil"/>
              <w:left w:val="nil"/>
              <w:bottom w:val="single" w:color="auto" w:sz="6" w:space="0"/>
              <w:right w:val="single" w:color="auto" w:sz="6" w:space="0"/>
            </w:tcBorders>
            <w:tcMar>
              <w:top w:w="0" w:type="dxa"/>
              <w:left w:w="0" w:type="dxa"/>
              <w:bottom w:w="0" w:type="dxa"/>
              <w:right w:w="0" w:type="dxa"/>
            </w:tcMar>
            <w:vAlign w:val="center"/>
          </w:tcPr>
          <w:p w14:paraId="2D9932C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22A296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25" w:type="dxa"/>
            <w:tcBorders>
              <w:top w:val="nil"/>
              <w:left w:val="nil"/>
              <w:bottom w:val="single" w:color="auto" w:sz="6" w:space="0"/>
              <w:right w:val="single" w:color="auto" w:sz="6" w:space="0"/>
            </w:tcBorders>
            <w:tcMar>
              <w:top w:w="0" w:type="dxa"/>
              <w:left w:w="0" w:type="dxa"/>
              <w:bottom w:w="0" w:type="dxa"/>
              <w:right w:w="0" w:type="dxa"/>
            </w:tcMar>
            <w:vAlign w:val="center"/>
          </w:tcPr>
          <w:p w14:paraId="5943373D">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660" w:type="dxa"/>
            <w:tcBorders>
              <w:top w:val="nil"/>
              <w:left w:val="nil"/>
              <w:bottom w:val="single" w:color="auto" w:sz="6" w:space="0"/>
              <w:right w:val="single" w:color="auto" w:sz="6" w:space="0"/>
            </w:tcBorders>
            <w:tcMar>
              <w:top w:w="0" w:type="dxa"/>
              <w:left w:w="0" w:type="dxa"/>
              <w:bottom w:w="0" w:type="dxa"/>
              <w:right w:w="0" w:type="dxa"/>
            </w:tcMar>
            <w:vAlign w:val="center"/>
          </w:tcPr>
          <w:p w14:paraId="5627CD7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840" w:type="dxa"/>
            <w:tcBorders>
              <w:top w:val="nil"/>
              <w:left w:val="nil"/>
              <w:bottom w:val="single" w:color="auto" w:sz="6" w:space="0"/>
              <w:right w:val="single" w:color="auto" w:sz="6" w:space="0"/>
            </w:tcBorders>
            <w:tcMar>
              <w:top w:w="0" w:type="dxa"/>
              <w:left w:w="0" w:type="dxa"/>
              <w:bottom w:w="0" w:type="dxa"/>
              <w:right w:w="0" w:type="dxa"/>
            </w:tcMar>
            <w:vAlign w:val="center"/>
          </w:tcPr>
          <w:p w14:paraId="46A2C91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bl>
    <w:p w14:paraId="3E1403E5">
      <w:pPr>
        <w:widowControl/>
        <w:spacing w:before="150" w:after="150" w:line="360" w:lineRule="atLeast"/>
        <w:ind w:firstLine="640" w:firstLineChars="200"/>
        <w:jc w:val="left"/>
        <w:rPr>
          <w:rFonts w:ascii="Arial" w:hAnsi="Arial" w:eastAsia="宋体" w:cs="Arial"/>
          <w:color w:val="000000"/>
          <w:kern w:val="0"/>
          <w:sz w:val="27"/>
          <w:szCs w:val="27"/>
        </w:rPr>
      </w:pPr>
      <w:r>
        <w:rPr>
          <w:rFonts w:hint="eastAsia" w:ascii="黑体" w:hAnsi="黑体" w:eastAsia="黑体" w:cs="Arial"/>
          <w:color w:val="000000"/>
          <w:kern w:val="0"/>
          <w:sz w:val="32"/>
          <w:szCs w:val="32"/>
        </w:rPr>
        <w:t>四、政府信息公开行政复议、行政诉讼情况</w:t>
      </w:r>
    </w:p>
    <w:tbl>
      <w:tblPr>
        <w:tblStyle w:val="6"/>
        <w:tblW w:w="0" w:type="auto"/>
        <w:tblInd w:w="0" w:type="dxa"/>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556"/>
        <w:gridCol w:w="556"/>
        <w:gridCol w:w="556"/>
        <w:gridCol w:w="556"/>
        <w:gridCol w:w="556"/>
        <w:gridCol w:w="553"/>
        <w:gridCol w:w="553"/>
        <w:gridCol w:w="553"/>
        <w:gridCol w:w="553"/>
        <w:gridCol w:w="553"/>
        <w:gridCol w:w="553"/>
        <w:gridCol w:w="554"/>
        <w:gridCol w:w="554"/>
        <w:gridCol w:w="554"/>
        <w:gridCol w:w="554"/>
      </w:tblGrid>
      <w:tr w14:paraId="66EDD12B">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2835" w:type="dxa"/>
            <w:gridSpan w:val="5"/>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03739E64">
            <w:pPr>
              <w:widowControl/>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行政复议</w:t>
            </w:r>
          </w:p>
        </w:tc>
        <w:tc>
          <w:tcPr>
            <w:tcW w:w="5655" w:type="dxa"/>
            <w:gridSpan w:val="10"/>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43EE1625">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行政诉讼</w:t>
            </w:r>
          </w:p>
        </w:tc>
      </w:tr>
      <w:tr w14:paraId="1EAF0966">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570" w:type="dxa"/>
            <w:vMerge w:val="restart"/>
            <w:tcBorders>
              <w:top w:val="nil"/>
              <w:left w:val="single" w:color="auto" w:sz="6" w:space="0"/>
              <w:bottom w:val="single" w:color="auto" w:sz="6" w:space="0"/>
              <w:right w:val="single" w:color="auto" w:sz="6" w:space="0"/>
            </w:tcBorders>
            <w:tcMar>
              <w:top w:w="0" w:type="dxa"/>
              <w:left w:w="0" w:type="dxa"/>
              <w:bottom w:w="0" w:type="dxa"/>
              <w:right w:w="0" w:type="dxa"/>
            </w:tcMar>
            <w:vAlign w:val="center"/>
          </w:tcPr>
          <w:p w14:paraId="68CD922B">
            <w:pPr>
              <w:widowControl/>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结果维持</w:t>
            </w:r>
          </w:p>
        </w:tc>
        <w:tc>
          <w:tcPr>
            <w:tcW w:w="570" w:type="dxa"/>
            <w:vMerge w:val="restart"/>
            <w:tcBorders>
              <w:top w:val="nil"/>
              <w:left w:val="nil"/>
              <w:bottom w:val="single" w:color="auto" w:sz="6" w:space="0"/>
              <w:right w:val="single" w:color="auto" w:sz="6" w:space="0"/>
            </w:tcBorders>
            <w:tcMar>
              <w:top w:w="0" w:type="dxa"/>
              <w:left w:w="0" w:type="dxa"/>
              <w:bottom w:w="0" w:type="dxa"/>
              <w:right w:w="0" w:type="dxa"/>
            </w:tcMar>
            <w:vAlign w:val="center"/>
          </w:tcPr>
          <w:p w14:paraId="60161C1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结果纠正</w:t>
            </w:r>
          </w:p>
        </w:tc>
        <w:tc>
          <w:tcPr>
            <w:tcW w:w="570" w:type="dxa"/>
            <w:vMerge w:val="restart"/>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52A9DB7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其他结果</w:t>
            </w:r>
          </w:p>
        </w:tc>
        <w:tc>
          <w:tcPr>
            <w:tcW w:w="570" w:type="dxa"/>
            <w:vMerge w:val="restart"/>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64EA788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尚未审结</w:t>
            </w:r>
          </w:p>
        </w:tc>
        <w:tc>
          <w:tcPr>
            <w:tcW w:w="570" w:type="dxa"/>
            <w:vMerge w:val="restart"/>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4780130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总计</w:t>
            </w:r>
          </w:p>
        </w:tc>
        <w:tc>
          <w:tcPr>
            <w:tcW w:w="2820" w:type="dxa"/>
            <w:gridSpan w:val="5"/>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71FF855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333333"/>
                <w:kern w:val="0"/>
                <w:sz w:val="24"/>
                <w:szCs w:val="24"/>
                <w:shd w:val="clear" w:color="auto" w:fill="FFFFFF"/>
              </w:rPr>
              <w:t>未经复议直接起诉</w:t>
            </w:r>
          </w:p>
        </w:tc>
        <w:tc>
          <w:tcPr>
            <w:tcW w:w="2820" w:type="dxa"/>
            <w:gridSpan w:val="5"/>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465DEE0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复议后起诉</w:t>
            </w:r>
          </w:p>
        </w:tc>
      </w:tr>
      <w:tr w14:paraId="04ECBEF4">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0" w:type="auto"/>
            <w:vMerge w:val="continue"/>
            <w:tcBorders>
              <w:top w:val="nil"/>
              <w:left w:val="single" w:color="auto" w:sz="6" w:space="0"/>
              <w:bottom w:val="single" w:color="auto" w:sz="6" w:space="0"/>
              <w:right w:val="single" w:color="auto" w:sz="6" w:space="0"/>
            </w:tcBorders>
            <w:vAlign w:val="center"/>
          </w:tcPr>
          <w:p w14:paraId="2466D327">
            <w:pPr>
              <w:widowControl/>
              <w:jc w:val="center"/>
              <w:rPr>
                <w:rFonts w:ascii="Arial" w:hAnsi="Arial" w:eastAsia="宋体" w:cs="Arial"/>
                <w:color w:val="000000"/>
                <w:kern w:val="0"/>
                <w:sz w:val="27"/>
                <w:szCs w:val="27"/>
              </w:rPr>
            </w:pPr>
          </w:p>
        </w:tc>
        <w:tc>
          <w:tcPr>
            <w:tcW w:w="0" w:type="auto"/>
            <w:vMerge w:val="continue"/>
            <w:tcBorders>
              <w:top w:val="nil"/>
              <w:left w:val="nil"/>
              <w:bottom w:val="single" w:color="auto" w:sz="6" w:space="0"/>
              <w:right w:val="single" w:color="auto" w:sz="6" w:space="0"/>
            </w:tcBorders>
            <w:vAlign w:val="center"/>
          </w:tcPr>
          <w:p w14:paraId="7DF7F4E3">
            <w:pPr>
              <w:widowControl/>
              <w:jc w:val="center"/>
              <w:rPr>
                <w:rFonts w:ascii="Arial" w:hAnsi="Arial" w:eastAsia="宋体" w:cs="Arial"/>
                <w:color w:val="000000"/>
                <w:kern w:val="0"/>
                <w:sz w:val="27"/>
                <w:szCs w:val="27"/>
              </w:rPr>
            </w:pPr>
          </w:p>
        </w:tc>
        <w:tc>
          <w:tcPr>
            <w:tcW w:w="0" w:type="auto"/>
            <w:vMerge w:val="continue"/>
            <w:tcBorders>
              <w:top w:val="single" w:color="auto" w:sz="6" w:space="0"/>
              <w:left w:val="nil"/>
              <w:bottom w:val="single" w:color="auto" w:sz="6" w:space="0"/>
              <w:right w:val="single" w:color="auto" w:sz="6" w:space="0"/>
            </w:tcBorders>
            <w:vAlign w:val="center"/>
          </w:tcPr>
          <w:p w14:paraId="4EF417DC">
            <w:pPr>
              <w:widowControl/>
              <w:jc w:val="center"/>
              <w:rPr>
                <w:rFonts w:ascii="Arial" w:hAnsi="Arial" w:eastAsia="宋体" w:cs="Arial"/>
                <w:color w:val="000000"/>
                <w:kern w:val="0"/>
                <w:sz w:val="27"/>
                <w:szCs w:val="27"/>
              </w:rPr>
            </w:pPr>
          </w:p>
        </w:tc>
        <w:tc>
          <w:tcPr>
            <w:tcW w:w="0" w:type="auto"/>
            <w:vMerge w:val="continue"/>
            <w:tcBorders>
              <w:top w:val="single" w:color="auto" w:sz="6" w:space="0"/>
              <w:left w:val="nil"/>
              <w:bottom w:val="single" w:color="auto" w:sz="6" w:space="0"/>
              <w:right w:val="single" w:color="auto" w:sz="6" w:space="0"/>
            </w:tcBorders>
            <w:vAlign w:val="center"/>
          </w:tcPr>
          <w:p w14:paraId="39EE8460">
            <w:pPr>
              <w:widowControl/>
              <w:jc w:val="center"/>
              <w:rPr>
                <w:rFonts w:ascii="Arial" w:hAnsi="Arial" w:eastAsia="宋体" w:cs="Arial"/>
                <w:color w:val="000000"/>
                <w:kern w:val="0"/>
                <w:sz w:val="27"/>
                <w:szCs w:val="27"/>
              </w:rPr>
            </w:pPr>
          </w:p>
        </w:tc>
        <w:tc>
          <w:tcPr>
            <w:tcW w:w="0" w:type="auto"/>
            <w:vMerge w:val="continue"/>
            <w:tcBorders>
              <w:top w:val="single" w:color="auto" w:sz="6" w:space="0"/>
              <w:left w:val="nil"/>
              <w:bottom w:val="single" w:color="auto" w:sz="6" w:space="0"/>
              <w:right w:val="single" w:color="auto" w:sz="6" w:space="0"/>
            </w:tcBorders>
            <w:vAlign w:val="center"/>
          </w:tcPr>
          <w:p w14:paraId="2DFC9A59">
            <w:pPr>
              <w:widowControl/>
              <w:jc w:val="center"/>
              <w:rPr>
                <w:rFonts w:ascii="Arial" w:hAnsi="Arial" w:eastAsia="宋体" w:cs="Arial"/>
                <w:color w:val="000000"/>
                <w:kern w:val="0"/>
                <w:sz w:val="27"/>
                <w:szCs w:val="27"/>
              </w:rPr>
            </w:pP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052DCAD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结果维持</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74A3C7E1">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结果纠正</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7B796D8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其他结果</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56EECB4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尚未审结</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1EA931B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总计</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6F6AD3B4">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结果维持</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6520421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结果纠正</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4183823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其他结果</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674BE38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尚未审结</w:t>
            </w:r>
          </w:p>
        </w:tc>
        <w:tc>
          <w:tcPr>
            <w:tcW w:w="570" w:type="dxa"/>
            <w:tcBorders>
              <w:top w:val="single" w:color="auto" w:sz="6" w:space="0"/>
              <w:left w:val="nil"/>
              <w:bottom w:val="single" w:color="auto" w:sz="6" w:space="0"/>
              <w:right w:val="single" w:color="auto" w:sz="6" w:space="0"/>
            </w:tcBorders>
            <w:tcMar>
              <w:top w:w="0" w:type="dxa"/>
              <w:left w:w="0" w:type="dxa"/>
              <w:bottom w:w="0" w:type="dxa"/>
              <w:right w:w="0" w:type="dxa"/>
            </w:tcMar>
            <w:vAlign w:val="center"/>
          </w:tcPr>
          <w:p w14:paraId="51C287F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总计</w:t>
            </w:r>
          </w:p>
        </w:tc>
      </w:tr>
      <w:tr w14:paraId="1BA9D40F">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c>
          <w:tcPr>
            <w:tcW w:w="570" w:type="dxa"/>
            <w:tcBorders>
              <w:top w:val="nil"/>
              <w:left w:val="single" w:color="auto" w:sz="6" w:space="0"/>
              <w:bottom w:val="single" w:color="auto" w:sz="6" w:space="0"/>
              <w:right w:val="single" w:color="auto" w:sz="6" w:space="0"/>
            </w:tcBorders>
            <w:tcMar>
              <w:top w:w="0" w:type="dxa"/>
              <w:left w:w="0" w:type="dxa"/>
              <w:bottom w:w="0" w:type="dxa"/>
              <w:right w:w="0" w:type="dxa"/>
            </w:tcMar>
            <w:vAlign w:val="center"/>
          </w:tcPr>
          <w:p w14:paraId="6702048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4DC5AD62">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32885F5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4ADC8DCB">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08221DEF">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2A46A1B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0B005836">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57747FE9">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30D9EECC">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099095A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18EA8BA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4367C4F0">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7D8EC283">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6562CB97">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c>
          <w:tcPr>
            <w:tcW w:w="570" w:type="dxa"/>
            <w:tcBorders>
              <w:top w:val="nil"/>
              <w:left w:val="nil"/>
              <w:bottom w:val="single" w:color="auto" w:sz="6" w:space="0"/>
              <w:right w:val="single" w:color="auto" w:sz="6" w:space="0"/>
            </w:tcBorders>
            <w:tcMar>
              <w:top w:w="0" w:type="dxa"/>
              <w:left w:w="0" w:type="dxa"/>
              <w:bottom w:w="0" w:type="dxa"/>
              <w:right w:w="0" w:type="dxa"/>
            </w:tcMar>
            <w:vAlign w:val="center"/>
          </w:tcPr>
          <w:p w14:paraId="7DF72808">
            <w:pPr>
              <w:widowControl/>
              <w:wordWrap w:val="0"/>
              <w:spacing w:after="225" w:line="360" w:lineRule="atLeast"/>
              <w:jc w:val="center"/>
              <w:rPr>
                <w:rFonts w:ascii="Arial" w:hAnsi="Arial" w:eastAsia="宋体" w:cs="Arial"/>
                <w:color w:val="000000"/>
                <w:kern w:val="0"/>
                <w:sz w:val="27"/>
                <w:szCs w:val="27"/>
              </w:rPr>
            </w:pPr>
            <w:r>
              <w:rPr>
                <w:rFonts w:hint="eastAsia" w:ascii="仿宋" w:hAnsi="仿宋" w:eastAsia="仿宋" w:cs="Arial"/>
                <w:color w:val="000000"/>
                <w:kern w:val="0"/>
                <w:sz w:val="24"/>
                <w:szCs w:val="24"/>
              </w:rPr>
              <w:t>0</w:t>
            </w:r>
          </w:p>
        </w:tc>
      </w:tr>
    </w:tbl>
    <w:p w14:paraId="559B1697">
      <w:pPr>
        <w:widowControl/>
        <w:spacing w:line="600" w:lineRule="exact"/>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rPr>
        <w:t>五、存在的主要问题及改进情况</w:t>
      </w:r>
    </w:p>
    <w:p w14:paraId="428C4C80">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rPr>
        <w:t>2024年，</w:t>
      </w:r>
      <w:r>
        <w:rPr>
          <w:rFonts w:hint="eastAsia" w:ascii="仿宋_GB2312" w:hAnsi="微软雅黑" w:eastAsia="仿宋_GB2312" w:cs="仿宋_GB2312"/>
          <w:color w:val="000033"/>
          <w:kern w:val="0"/>
          <w:sz w:val="32"/>
          <w:szCs w:val="32"/>
          <w:shd w:val="clear" w:color="auto" w:fill="FFFFFF"/>
          <w:lang w:eastAsia="zh-CN"/>
        </w:rPr>
        <w:t>滕州市统计局</w:t>
      </w:r>
      <w:r>
        <w:rPr>
          <w:rFonts w:hint="eastAsia" w:ascii="仿宋_GB2312" w:hAnsi="微软雅黑" w:eastAsia="仿宋_GB2312" w:cs="仿宋_GB2312"/>
          <w:color w:val="000033"/>
          <w:kern w:val="0"/>
          <w:sz w:val="32"/>
          <w:szCs w:val="32"/>
          <w:shd w:val="clear" w:color="auto" w:fill="FFFFFF"/>
        </w:rPr>
        <w:t>政府信息公开工作虽然取得了一定成效和进步，但仍存在一些问题和不足。一是宣传力度不够。公众对统计局政务公开的知晓度和关注度不高。二是公开信息的内容专业性较强。信息呈现方式可能过于专业或复杂，不易被普通公众理解。</w:t>
      </w:r>
    </w:p>
    <w:p w14:paraId="71DDC3CE">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eastAsia="zh-CN"/>
        </w:rPr>
        <w:t>下一步，我们将采</w:t>
      </w:r>
      <w:r>
        <w:rPr>
          <w:rFonts w:hint="eastAsia" w:ascii="仿宋_GB2312" w:hAnsi="微软雅黑" w:eastAsia="仿宋_GB2312" w:cs="仿宋_GB2312"/>
          <w:color w:val="000033"/>
          <w:kern w:val="0"/>
          <w:sz w:val="32"/>
          <w:szCs w:val="32"/>
          <w:shd w:val="clear" w:color="auto" w:fill="FFFFFF"/>
          <w:lang w:val="en-US" w:eastAsia="zh-CN"/>
        </w:rPr>
        <w:t>取</w:t>
      </w:r>
      <w:bookmarkStart w:id="0" w:name="_GoBack"/>
      <w:bookmarkEnd w:id="0"/>
      <w:r>
        <w:rPr>
          <w:rFonts w:hint="eastAsia" w:ascii="仿宋_GB2312" w:hAnsi="微软雅黑" w:eastAsia="仿宋_GB2312" w:cs="仿宋_GB2312"/>
          <w:color w:val="000033"/>
          <w:kern w:val="0"/>
          <w:sz w:val="32"/>
          <w:szCs w:val="32"/>
          <w:shd w:val="clear" w:color="auto" w:fill="FFFFFF"/>
          <w:lang w:eastAsia="zh-CN"/>
        </w:rPr>
        <w:t>以下措施：</w:t>
      </w:r>
      <w:r>
        <w:rPr>
          <w:rFonts w:hint="eastAsia" w:ascii="仿宋_GB2312" w:hAnsi="微软雅黑" w:eastAsia="仿宋_GB2312" w:cs="仿宋_GB2312"/>
          <w:color w:val="000033"/>
          <w:kern w:val="0"/>
          <w:sz w:val="32"/>
          <w:szCs w:val="32"/>
          <w:shd w:val="clear" w:color="auto" w:fill="FFFFFF"/>
        </w:rPr>
        <w:t>一是加强宣传推广，通过多种渠道提高政务公开的知晓度，吸引公众参与。二是对公开的内容进行优化，采用通俗易懂的语言和图表来呈现信息，提高可读性，使公众能够更了解统计工作，更支持统计工作。</w:t>
      </w:r>
    </w:p>
    <w:p w14:paraId="69879C21">
      <w:pPr>
        <w:widowControl/>
        <w:shd w:val="clear" w:color="auto" w:fill="FFFFFF"/>
        <w:spacing w:line="600" w:lineRule="exact"/>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rPr>
        <w:t>六、其他需要报告的事项</w:t>
      </w:r>
    </w:p>
    <w:p w14:paraId="101CAFC6">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val="en-US" w:eastAsia="zh-CN"/>
        </w:rPr>
        <w:t>（一）</w:t>
      </w:r>
      <w:r>
        <w:rPr>
          <w:rFonts w:hint="eastAsia" w:ascii="仿宋_GB2312" w:hAnsi="微软雅黑" w:eastAsia="仿宋_GB2312" w:cs="仿宋_GB2312"/>
          <w:color w:val="000033"/>
          <w:kern w:val="0"/>
          <w:sz w:val="32"/>
          <w:szCs w:val="32"/>
          <w:shd w:val="clear" w:color="auto" w:fill="FFFFFF"/>
        </w:rPr>
        <w:t>收取信息处理费情况方面。依据《政府信息公开信息处理费管理办法》，2024年度，</w:t>
      </w:r>
      <w:r>
        <w:rPr>
          <w:rFonts w:hint="eastAsia" w:ascii="仿宋_GB2312" w:hAnsi="微软雅黑" w:eastAsia="仿宋_GB2312" w:cs="仿宋_GB2312"/>
          <w:color w:val="000033"/>
          <w:kern w:val="0"/>
          <w:sz w:val="32"/>
          <w:szCs w:val="32"/>
          <w:shd w:val="clear" w:color="auto" w:fill="FFFFFF"/>
          <w:lang w:eastAsia="zh-CN"/>
        </w:rPr>
        <w:t>滕州市统计局</w:t>
      </w:r>
      <w:r>
        <w:rPr>
          <w:rFonts w:hint="eastAsia" w:ascii="仿宋_GB2312" w:hAnsi="微软雅黑" w:eastAsia="仿宋_GB2312" w:cs="仿宋_GB2312"/>
          <w:color w:val="000033"/>
          <w:kern w:val="0"/>
          <w:sz w:val="32"/>
          <w:szCs w:val="32"/>
          <w:shd w:val="clear" w:color="auto" w:fill="FFFFFF"/>
        </w:rPr>
        <w:t>未收取信息处理费。</w:t>
      </w:r>
    </w:p>
    <w:p w14:paraId="2826DC7C">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val="en-US" w:eastAsia="zh-CN"/>
        </w:rPr>
        <w:t>（二）</w:t>
      </w:r>
      <w:r>
        <w:rPr>
          <w:rFonts w:hint="eastAsia" w:ascii="仿宋_GB2312" w:hAnsi="微软雅黑" w:eastAsia="仿宋_GB2312" w:cs="仿宋_GB2312"/>
          <w:color w:val="000033"/>
          <w:kern w:val="0"/>
          <w:sz w:val="32"/>
          <w:szCs w:val="32"/>
          <w:shd w:val="clear" w:color="auto" w:fill="FFFFFF"/>
        </w:rPr>
        <w:t>落实上级年度政务公开工作要点情况。2024年，滕州市统计局认真按照上级年度政务公开工作要点，结合自身工作</w:t>
      </w:r>
      <w:r>
        <w:rPr>
          <w:rFonts w:hint="eastAsia" w:ascii="仿宋_GB2312" w:hAnsi="微软雅黑" w:eastAsia="仿宋_GB2312" w:cs="仿宋_GB2312"/>
          <w:color w:val="000033"/>
          <w:kern w:val="0"/>
          <w:sz w:val="32"/>
          <w:szCs w:val="32"/>
          <w:shd w:val="clear" w:color="auto" w:fill="FFFFFF"/>
          <w:lang w:val="en-US" w:eastAsia="zh-CN"/>
        </w:rPr>
        <w:t>,</w:t>
      </w:r>
      <w:r>
        <w:rPr>
          <w:rFonts w:hint="eastAsia" w:ascii="仿宋_GB2312" w:hAnsi="微软雅黑" w:eastAsia="仿宋_GB2312" w:cs="仿宋_GB2312"/>
          <w:color w:val="000033"/>
          <w:kern w:val="0"/>
          <w:sz w:val="32"/>
          <w:szCs w:val="32"/>
          <w:shd w:val="clear" w:color="auto" w:fill="FFFFFF"/>
        </w:rPr>
        <w:t>坚持在滕州市人民政府官网信息公开页面、微信公众号发布信息时，严格落实“谁发布、谁审查”“先审查、后公开”“一事一审”和依法公开的原则，认真落实信息公开保密审查制度。</w:t>
      </w:r>
    </w:p>
    <w:p w14:paraId="0A8338B1">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eastAsia="zh-CN"/>
        </w:rPr>
        <w:t>（三）</w:t>
      </w:r>
      <w:r>
        <w:rPr>
          <w:rFonts w:hint="eastAsia" w:ascii="仿宋_GB2312" w:hAnsi="微软雅黑" w:eastAsia="仿宋_GB2312" w:cs="仿宋_GB2312"/>
          <w:color w:val="000033"/>
          <w:kern w:val="0"/>
          <w:sz w:val="32"/>
          <w:szCs w:val="32"/>
          <w:shd w:val="clear" w:color="auto" w:fill="FFFFFF"/>
        </w:rPr>
        <w:t>人大代表建议和政协提案办理情况方面。2024年，</w:t>
      </w:r>
      <w:r>
        <w:rPr>
          <w:rFonts w:hint="eastAsia" w:ascii="仿宋_GB2312" w:hAnsi="微软雅黑" w:eastAsia="仿宋_GB2312" w:cs="仿宋_GB2312"/>
          <w:color w:val="000033"/>
          <w:kern w:val="0"/>
          <w:sz w:val="32"/>
          <w:szCs w:val="32"/>
          <w:shd w:val="clear" w:color="auto" w:fill="FFFFFF"/>
          <w:lang w:eastAsia="zh-CN"/>
        </w:rPr>
        <w:t>滕州市统计局</w:t>
      </w:r>
      <w:r>
        <w:rPr>
          <w:rFonts w:hint="eastAsia" w:ascii="仿宋_GB2312" w:hAnsi="微软雅黑" w:eastAsia="仿宋_GB2312" w:cs="仿宋_GB2312"/>
          <w:color w:val="000033"/>
          <w:kern w:val="0"/>
          <w:sz w:val="32"/>
          <w:szCs w:val="32"/>
          <w:shd w:val="clear" w:color="auto" w:fill="FFFFFF"/>
        </w:rPr>
        <w:t>未承办人大代表建议，未承办政协提案。</w:t>
      </w:r>
    </w:p>
    <w:p w14:paraId="587BEF58">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eastAsia="zh-CN"/>
        </w:rPr>
        <w:t>（四）</w:t>
      </w:r>
      <w:r>
        <w:rPr>
          <w:rFonts w:hint="eastAsia" w:ascii="仿宋_GB2312" w:hAnsi="微软雅黑" w:eastAsia="仿宋_GB2312" w:cs="仿宋_GB2312"/>
          <w:color w:val="000033"/>
          <w:kern w:val="0"/>
          <w:sz w:val="32"/>
          <w:szCs w:val="32"/>
          <w:shd w:val="clear" w:color="auto" w:fill="FFFFFF"/>
        </w:rPr>
        <w:t>开展政务公开创新方面。坚持“当天信息当天发”的工作原则，及时发布各级各类统计信息，做好政务公开工作。发布内容涉及政策法规、工作动态、统计知识解读等多方面工作。</w:t>
      </w:r>
    </w:p>
    <w:p w14:paraId="4C1D760F">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eastAsia="zh-CN"/>
        </w:rPr>
        <w:t>（五）没有</w:t>
      </w:r>
      <w:r>
        <w:rPr>
          <w:rFonts w:hint="eastAsia" w:ascii="仿宋_GB2312" w:hAnsi="微软雅黑" w:eastAsia="仿宋_GB2312" w:cs="仿宋_GB2312"/>
          <w:color w:val="000033"/>
          <w:kern w:val="0"/>
          <w:sz w:val="32"/>
          <w:szCs w:val="32"/>
          <w:shd w:val="clear" w:color="auto" w:fill="FFFFFF"/>
        </w:rPr>
        <w:t>政府信息公开工作年度报告数据统计需要说明的事项。</w:t>
      </w:r>
    </w:p>
    <w:p w14:paraId="467DC3D0">
      <w:pPr>
        <w:widowControl/>
        <w:shd w:val="clear" w:color="auto" w:fill="FFFFFF"/>
        <w:spacing w:line="600" w:lineRule="exact"/>
        <w:ind w:firstLine="640" w:firstLineChars="200"/>
        <w:rPr>
          <w:rFonts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eastAsia="zh-CN"/>
        </w:rPr>
        <w:t>（六）没有</w:t>
      </w:r>
      <w:r>
        <w:rPr>
          <w:rFonts w:hint="eastAsia" w:ascii="仿宋_GB2312" w:hAnsi="微软雅黑" w:eastAsia="仿宋_GB2312" w:cs="仿宋_GB2312"/>
          <w:color w:val="000033"/>
          <w:kern w:val="0"/>
          <w:sz w:val="32"/>
          <w:szCs w:val="32"/>
          <w:shd w:val="clear" w:color="auto" w:fill="FFFFFF"/>
        </w:rPr>
        <w:t>其他有关文件专门要求通过政府信息公开工作年度报告予以报告的事项。</w:t>
      </w:r>
    </w:p>
    <w:p w14:paraId="16B4AC75">
      <w:pPr>
        <w:widowControl/>
        <w:shd w:val="clear" w:color="auto" w:fill="FFFFFF"/>
        <w:spacing w:line="600" w:lineRule="exact"/>
        <w:ind w:firstLine="640" w:firstLineChars="200"/>
        <w:rPr>
          <w:rFonts w:hint="eastAsia" w:ascii="仿宋_GB2312" w:hAnsi="微软雅黑" w:eastAsia="仿宋_GB2312" w:cs="仿宋_GB2312"/>
          <w:color w:val="000033"/>
          <w:kern w:val="0"/>
          <w:sz w:val="32"/>
          <w:szCs w:val="32"/>
          <w:shd w:val="clear" w:color="auto" w:fill="FFFFFF"/>
        </w:rPr>
      </w:pPr>
      <w:r>
        <w:rPr>
          <w:rFonts w:hint="eastAsia" w:ascii="仿宋_GB2312" w:hAnsi="微软雅黑" w:eastAsia="仿宋_GB2312" w:cs="仿宋_GB2312"/>
          <w:color w:val="000033"/>
          <w:kern w:val="0"/>
          <w:sz w:val="32"/>
          <w:szCs w:val="32"/>
          <w:shd w:val="clear" w:color="auto" w:fill="FFFFFF"/>
          <w:lang w:eastAsia="zh-CN"/>
        </w:rPr>
        <w:t>（七）</w:t>
      </w:r>
      <w:r>
        <w:rPr>
          <w:rFonts w:hint="eastAsia" w:ascii="仿宋_GB2312" w:hAnsi="微软雅黑" w:eastAsia="仿宋_GB2312" w:cs="仿宋_GB2312"/>
          <w:color w:val="000033"/>
          <w:kern w:val="0"/>
          <w:sz w:val="32"/>
          <w:szCs w:val="32"/>
          <w:shd w:val="clear" w:color="auto" w:fill="FFFFFF"/>
        </w:rPr>
        <w:t>本报告的电子版可在</w:t>
      </w:r>
      <w:r>
        <w:rPr>
          <w:rFonts w:hint="eastAsia" w:ascii="仿宋_GB2312" w:hAnsi="微软雅黑" w:eastAsia="仿宋_GB2312" w:cs="仿宋_GB2312"/>
          <w:color w:val="000033"/>
          <w:kern w:val="0"/>
          <w:sz w:val="32"/>
          <w:szCs w:val="32"/>
          <w:shd w:val="clear" w:color="auto" w:fill="FFFFFF"/>
          <w:lang w:eastAsia="zh-CN"/>
        </w:rPr>
        <w:t>“</w:t>
      </w:r>
      <w:r>
        <w:rPr>
          <w:rFonts w:hint="eastAsia" w:ascii="仿宋_GB2312" w:hAnsi="微软雅黑" w:eastAsia="仿宋_GB2312" w:cs="仿宋_GB2312"/>
          <w:color w:val="000033"/>
          <w:kern w:val="0"/>
          <w:sz w:val="32"/>
          <w:szCs w:val="32"/>
          <w:shd w:val="clear" w:color="auto" w:fill="FFFFFF"/>
        </w:rPr>
        <w:t>中国滕州网</w:t>
      </w:r>
      <w:r>
        <w:rPr>
          <w:rFonts w:hint="eastAsia" w:ascii="仿宋_GB2312" w:hAnsi="微软雅黑" w:eastAsia="仿宋_GB2312" w:cs="仿宋_GB2312"/>
          <w:color w:val="000033"/>
          <w:kern w:val="0"/>
          <w:sz w:val="32"/>
          <w:szCs w:val="32"/>
          <w:shd w:val="clear" w:color="auto" w:fill="FFFFFF"/>
          <w:lang w:eastAsia="zh-CN"/>
        </w:rPr>
        <w:t>”</w:t>
      </w:r>
      <w:r>
        <w:rPr>
          <w:rFonts w:hint="eastAsia" w:ascii="仿宋_GB2312" w:hAnsi="微软雅黑" w:eastAsia="仿宋_GB2312" w:cs="仿宋_GB2312"/>
          <w:color w:val="000033"/>
          <w:kern w:val="0"/>
          <w:sz w:val="32"/>
          <w:szCs w:val="32"/>
          <w:shd w:val="clear" w:color="auto" w:fill="FFFFFF"/>
        </w:rPr>
        <w:t>（http://www.tengzhou.gov.cn/）网站查询和下载。如对本报告有任何疑问，请与滕州市统计局办公室联系。（地址：山东省滕州市北辛中路政务中心401房间，联系电话：0632—5888108，电子邮箱：</w:t>
      </w:r>
      <w:r>
        <w:fldChar w:fldCharType="begin"/>
      </w:r>
      <w:r>
        <w:instrText xml:space="preserve"> HYPERLINK "mailto:tzsttj@163.com" </w:instrText>
      </w:r>
      <w:r>
        <w:fldChar w:fldCharType="separate"/>
      </w:r>
      <w:r>
        <w:rPr>
          <w:rFonts w:hint="eastAsia" w:ascii="仿宋_GB2312" w:hAnsi="微软雅黑" w:eastAsia="仿宋_GB2312" w:cs="仿宋_GB2312"/>
          <w:color w:val="000033"/>
          <w:kern w:val="0"/>
          <w:sz w:val="32"/>
          <w:szCs w:val="32"/>
          <w:shd w:val="clear" w:color="auto" w:fill="FFFFFF"/>
        </w:rPr>
        <w:t>tzst</w:t>
      </w:r>
      <w:r>
        <w:rPr>
          <w:rFonts w:hint="eastAsia" w:ascii="仿宋_GB2312" w:hAnsi="微软雅黑" w:eastAsia="仿宋_GB2312" w:cs="仿宋_GB2312"/>
          <w:color w:val="000033"/>
          <w:kern w:val="0"/>
          <w:sz w:val="32"/>
          <w:szCs w:val="32"/>
          <w:shd w:val="clear" w:color="auto" w:fill="FFFFFF"/>
          <w:lang w:val="en-US" w:eastAsia="zh-CN"/>
        </w:rPr>
        <w:t>j</w:t>
      </w:r>
      <w:r>
        <w:rPr>
          <w:rFonts w:hint="eastAsia" w:ascii="仿宋_GB2312" w:hAnsi="微软雅黑" w:eastAsia="仿宋_GB2312" w:cs="仿宋_GB2312"/>
          <w:color w:val="000033"/>
          <w:kern w:val="0"/>
          <w:sz w:val="32"/>
          <w:szCs w:val="32"/>
          <w:shd w:val="clear" w:color="auto" w:fill="FFFFFF"/>
        </w:rPr>
        <w:t>j@163.com</w:t>
      </w:r>
      <w:r>
        <w:rPr>
          <w:rFonts w:hint="eastAsia" w:ascii="仿宋_GB2312" w:hAnsi="微软雅黑" w:eastAsia="仿宋_GB2312" w:cs="仿宋_GB2312"/>
          <w:color w:val="000033"/>
          <w:kern w:val="0"/>
          <w:sz w:val="32"/>
          <w:szCs w:val="32"/>
          <w:shd w:val="clear" w:color="auto" w:fill="FFFFFF"/>
        </w:rPr>
        <w:fldChar w:fldCharType="end"/>
      </w:r>
      <w:r>
        <w:rPr>
          <w:rFonts w:hint="eastAsia" w:ascii="仿宋_GB2312" w:hAnsi="微软雅黑" w:eastAsia="仿宋_GB2312" w:cs="仿宋_GB2312"/>
          <w:color w:val="000033"/>
          <w:kern w:val="0"/>
          <w:sz w:val="32"/>
          <w:szCs w:val="32"/>
          <w:shd w:val="clear" w:color="auto" w:fill="FFFFFF"/>
        </w:rPr>
        <w:t>）</w:t>
      </w:r>
    </w:p>
    <w:p w14:paraId="4230015C">
      <w:pPr>
        <w:widowControl/>
        <w:shd w:val="clear" w:color="auto" w:fill="FFFFFF"/>
        <w:spacing w:line="600" w:lineRule="exact"/>
        <w:rPr>
          <w:rFonts w:hint="default" w:ascii="仿宋_GB2312" w:hAnsi="微软雅黑" w:eastAsia="仿宋_GB2312" w:cs="仿宋_GB2312"/>
          <w:color w:val="000033"/>
          <w:kern w:val="0"/>
          <w:sz w:val="32"/>
          <w:szCs w:val="32"/>
          <w:shd w:val="clear" w:color="auto" w:fill="FFFFFF"/>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7B83EF-D6C3-48E7-8A05-C93116E91DFF}"/>
  </w:font>
  <w:font w:name="黑体">
    <w:panose1 w:val="02010609060101010101"/>
    <w:charset w:val="86"/>
    <w:family w:val="auto"/>
    <w:pitch w:val="default"/>
    <w:sig w:usb0="800002BF" w:usb1="38CF7CFA" w:usb2="00000016" w:usb3="00000000" w:csb0="00040001" w:csb1="00000000"/>
    <w:embedRegular r:id="rId2" w:fontKey="{4E8D4957-A443-486C-8D73-14E5F6981A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42F1F9E9-2BD5-4F40-8646-86C946A67F9D}"/>
  </w:font>
  <w:font w:name="微软雅黑">
    <w:panose1 w:val="020B0503020204020204"/>
    <w:charset w:val="86"/>
    <w:family w:val="swiss"/>
    <w:pitch w:val="default"/>
    <w:sig w:usb0="80000287" w:usb1="2ACF3C50" w:usb2="00000016" w:usb3="00000000" w:csb0="0004001F" w:csb1="00000000"/>
    <w:embedRegular r:id="rId4" w:fontKey="{A3E76148-5233-4E1E-A36B-45269525CB14}"/>
  </w:font>
  <w:font w:name="楷体_GB2312">
    <w:panose1 w:val="02010609030101010101"/>
    <w:charset w:val="86"/>
    <w:family w:val="modern"/>
    <w:pitch w:val="default"/>
    <w:sig w:usb0="00000001" w:usb1="080E0000" w:usb2="00000000" w:usb3="00000000" w:csb0="00040000" w:csb1="00000000"/>
    <w:embedRegular r:id="rId5" w:fontKey="{AAC771E3-7703-4082-9CB4-DFA311990265}"/>
  </w:font>
  <w:font w:name="仿宋">
    <w:panose1 w:val="02010609060101010101"/>
    <w:charset w:val="86"/>
    <w:family w:val="modern"/>
    <w:pitch w:val="default"/>
    <w:sig w:usb0="800002BF" w:usb1="38CF7CFA" w:usb2="00000016" w:usb3="00000000" w:csb0="00040001" w:csb1="00000000"/>
    <w:embedRegular r:id="rId6" w:fontKey="{D8529D0C-B7D3-427D-BF34-A9D2FF145A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C867A">
    <w:pPr>
      <w:pStyle w:val="3"/>
    </w:pPr>
    <w:r>
      <w:pict>
        <v:shape id="文本框 2" o:spid="_x0000_s2049"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bowd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9ujB2jgCAABvBAAADgAAAAAAAAABACAAAAAfAQAAZHJzL2Uyb0RvYy54&#10;bWxQSwUGAAAAAAYABgBZAQAAyQUAAAAA&#10;">
          <v:path/>
          <v:fill on="f" focussize="0,0"/>
          <v:stroke on="f" weight="0.5pt" joinstyle="miter"/>
          <v:imagedata o:title=""/>
          <o:lock v:ext="edit"/>
          <v:textbox inset="0mm,0mm,0mm,0mm" style="mso-fit-shape-to-text:t;">
            <w:txbxContent>
              <w:p w14:paraId="56303BA0">
                <w:pPr>
                  <w:pStyle w:val="3"/>
                  <w:rPr>
                    <w:sz w:val="21"/>
                    <w:szCs w:val="28"/>
                  </w:rPr>
                </w:pPr>
                <w:r>
                  <w:rPr>
                    <w:rFonts w:hint="eastAsia"/>
                    <w:sz w:val="21"/>
                    <w:szCs w:val="28"/>
                  </w:rPr>
                  <w:fldChar w:fldCharType="begin"/>
                </w:r>
                <w:r>
                  <w:rPr>
                    <w:rFonts w:hint="eastAsia"/>
                    <w:sz w:val="21"/>
                    <w:szCs w:val="28"/>
                  </w:rPr>
                  <w:instrText xml:space="preserve"> PAGE  \* MERGEFORMAT </w:instrText>
                </w:r>
                <w:r>
                  <w:rPr>
                    <w:rFonts w:hint="eastAsia"/>
                    <w:sz w:val="21"/>
                    <w:szCs w:val="28"/>
                  </w:rPr>
                  <w:fldChar w:fldCharType="separate"/>
                </w:r>
                <w:r>
                  <w:rPr>
                    <w:sz w:val="21"/>
                    <w:szCs w:val="28"/>
                  </w:rPr>
                  <w:t>- 8 -</w:t>
                </w:r>
                <w:r>
                  <w:rPr>
                    <w:rFonts w:hint="eastAsia"/>
                    <w:sz w:val="21"/>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262555"/>
    <w:multiLevelType w:val="multilevel"/>
    <w:tmpl w:val="39262555"/>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NotDisplayPageBoundaries w:val="1"/>
  <w:embedTrueTypeFonts/>
  <w:saveSubsetFonts/>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QxNDc0NjVkYTc3YmU3ZTg1OGEzMDcxZDFlNTI5MTUifQ=="/>
  </w:docVars>
  <w:rsids>
    <w:rsidRoot w:val="7D8D040D"/>
    <w:rsid w:val="00010A5B"/>
    <w:rsid w:val="0002427B"/>
    <w:rsid w:val="000355BB"/>
    <w:rsid w:val="0003704B"/>
    <w:rsid w:val="000568A1"/>
    <w:rsid w:val="000571F7"/>
    <w:rsid w:val="000707D6"/>
    <w:rsid w:val="000709B6"/>
    <w:rsid w:val="00085987"/>
    <w:rsid w:val="0009672A"/>
    <w:rsid w:val="000A09F8"/>
    <w:rsid w:val="000D35DB"/>
    <w:rsid w:val="00102565"/>
    <w:rsid w:val="00117EAF"/>
    <w:rsid w:val="001275B4"/>
    <w:rsid w:val="00143397"/>
    <w:rsid w:val="00174CE6"/>
    <w:rsid w:val="00176129"/>
    <w:rsid w:val="001A109A"/>
    <w:rsid w:val="001A32CD"/>
    <w:rsid w:val="001A75D8"/>
    <w:rsid w:val="001B6D4B"/>
    <w:rsid w:val="001B7780"/>
    <w:rsid w:val="001D6671"/>
    <w:rsid w:val="001D743F"/>
    <w:rsid w:val="00204F51"/>
    <w:rsid w:val="002717CC"/>
    <w:rsid w:val="002860A1"/>
    <w:rsid w:val="002973E8"/>
    <w:rsid w:val="002B7224"/>
    <w:rsid w:val="002C5978"/>
    <w:rsid w:val="002D1887"/>
    <w:rsid w:val="002D4504"/>
    <w:rsid w:val="002E1357"/>
    <w:rsid w:val="002E18B6"/>
    <w:rsid w:val="00343536"/>
    <w:rsid w:val="00346349"/>
    <w:rsid w:val="00361E8F"/>
    <w:rsid w:val="00367318"/>
    <w:rsid w:val="00371E2C"/>
    <w:rsid w:val="00373BA5"/>
    <w:rsid w:val="00377069"/>
    <w:rsid w:val="003A79F5"/>
    <w:rsid w:val="003F0233"/>
    <w:rsid w:val="003F14D5"/>
    <w:rsid w:val="003F3DC3"/>
    <w:rsid w:val="0040782A"/>
    <w:rsid w:val="0042168B"/>
    <w:rsid w:val="00432596"/>
    <w:rsid w:val="00443AFD"/>
    <w:rsid w:val="00483177"/>
    <w:rsid w:val="0048683A"/>
    <w:rsid w:val="004950D8"/>
    <w:rsid w:val="004C5389"/>
    <w:rsid w:val="004E7C19"/>
    <w:rsid w:val="004F1910"/>
    <w:rsid w:val="004F26CE"/>
    <w:rsid w:val="0050563E"/>
    <w:rsid w:val="00516990"/>
    <w:rsid w:val="005215AA"/>
    <w:rsid w:val="005500A7"/>
    <w:rsid w:val="00570B3B"/>
    <w:rsid w:val="005745F9"/>
    <w:rsid w:val="0057666C"/>
    <w:rsid w:val="005846A5"/>
    <w:rsid w:val="005A2A34"/>
    <w:rsid w:val="005C24D5"/>
    <w:rsid w:val="005E01DC"/>
    <w:rsid w:val="005E3B78"/>
    <w:rsid w:val="005E7242"/>
    <w:rsid w:val="005F1E16"/>
    <w:rsid w:val="005F4C05"/>
    <w:rsid w:val="006004AA"/>
    <w:rsid w:val="00617DB4"/>
    <w:rsid w:val="006265D5"/>
    <w:rsid w:val="006424F0"/>
    <w:rsid w:val="00645781"/>
    <w:rsid w:val="00657516"/>
    <w:rsid w:val="006702A7"/>
    <w:rsid w:val="00680F8A"/>
    <w:rsid w:val="006D0C6B"/>
    <w:rsid w:val="006D17BC"/>
    <w:rsid w:val="006D71C4"/>
    <w:rsid w:val="006E3C01"/>
    <w:rsid w:val="006E7C00"/>
    <w:rsid w:val="006F1300"/>
    <w:rsid w:val="00704D0D"/>
    <w:rsid w:val="00706F46"/>
    <w:rsid w:val="00716E85"/>
    <w:rsid w:val="00732F08"/>
    <w:rsid w:val="0073597F"/>
    <w:rsid w:val="0074639F"/>
    <w:rsid w:val="00747A41"/>
    <w:rsid w:val="007578DC"/>
    <w:rsid w:val="007935E1"/>
    <w:rsid w:val="00795358"/>
    <w:rsid w:val="007B0429"/>
    <w:rsid w:val="007B175B"/>
    <w:rsid w:val="007B1C46"/>
    <w:rsid w:val="007B79C1"/>
    <w:rsid w:val="007E427C"/>
    <w:rsid w:val="007F1D46"/>
    <w:rsid w:val="007F3A79"/>
    <w:rsid w:val="0085221A"/>
    <w:rsid w:val="00857B0D"/>
    <w:rsid w:val="00882E6D"/>
    <w:rsid w:val="008A0138"/>
    <w:rsid w:val="008A14A5"/>
    <w:rsid w:val="008A56C5"/>
    <w:rsid w:val="008C0ACC"/>
    <w:rsid w:val="008C7A0E"/>
    <w:rsid w:val="00913665"/>
    <w:rsid w:val="009164EF"/>
    <w:rsid w:val="009312BB"/>
    <w:rsid w:val="00932E77"/>
    <w:rsid w:val="009804C5"/>
    <w:rsid w:val="009A2797"/>
    <w:rsid w:val="009A29C5"/>
    <w:rsid w:val="009A7D87"/>
    <w:rsid w:val="009B311C"/>
    <w:rsid w:val="009B6933"/>
    <w:rsid w:val="009C4989"/>
    <w:rsid w:val="009C5B15"/>
    <w:rsid w:val="009E3E00"/>
    <w:rsid w:val="00A24E5A"/>
    <w:rsid w:val="00A25384"/>
    <w:rsid w:val="00A32271"/>
    <w:rsid w:val="00A435BB"/>
    <w:rsid w:val="00A441BB"/>
    <w:rsid w:val="00A70F0C"/>
    <w:rsid w:val="00A736D7"/>
    <w:rsid w:val="00A7704E"/>
    <w:rsid w:val="00A77D31"/>
    <w:rsid w:val="00A823F6"/>
    <w:rsid w:val="00A841C9"/>
    <w:rsid w:val="00A972E0"/>
    <w:rsid w:val="00AD034A"/>
    <w:rsid w:val="00AD7B53"/>
    <w:rsid w:val="00B216C4"/>
    <w:rsid w:val="00B46C81"/>
    <w:rsid w:val="00B5451E"/>
    <w:rsid w:val="00B70090"/>
    <w:rsid w:val="00B80071"/>
    <w:rsid w:val="00B9062D"/>
    <w:rsid w:val="00B9578E"/>
    <w:rsid w:val="00BB5136"/>
    <w:rsid w:val="00BF0B32"/>
    <w:rsid w:val="00BF736C"/>
    <w:rsid w:val="00C02C26"/>
    <w:rsid w:val="00C078D7"/>
    <w:rsid w:val="00C20F9F"/>
    <w:rsid w:val="00C40B32"/>
    <w:rsid w:val="00C62991"/>
    <w:rsid w:val="00C6528F"/>
    <w:rsid w:val="00C90420"/>
    <w:rsid w:val="00CA7EDC"/>
    <w:rsid w:val="00CB2188"/>
    <w:rsid w:val="00CC1BE7"/>
    <w:rsid w:val="00CC2C13"/>
    <w:rsid w:val="00CD691E"/>
    <w:rsid w:val="00CE298C"/>
    <w:rsid w:val="00CE4AB2"/>
    <w:rsid w:val="00D02E79"/>
    <w:rsid w:val="00D26024"/>
    <w:rsid w:val="00D5765A"/>
    <w:rsid w:val="00D71A67"/>
    <w:rsid w:val="00D74E1E"/>
    <w:rsid w:val="00D779E4"/>
    <w:rsid w:val="00DA702C"/>
    <w:rsid w:val="00DE4BCD"/>
    <w:rsid w:val="00DF130D"/>
    <w:rsid w:val="00E04392"/>
    <w:rsid w:val="00E2143E"/>
    <w:rsid w:val="00E46941"/>
    <w:rsid w:val="00E5090A"/>
    <w:rsid w:val="00E50DF9"/>
    <w:rsid w:val="00E60468"/>
    <w:rsid w:val="00E813E4"/>
    <w:rsid w:val="00E9449A"/>
    <w:rsid w:val="00EA0032"/>
    <w:rsid w:val="00EB3657"/>
    <w:rsid w:val="00ED638E"/>
    <w:rsid w:val="00EE0DA0"/>
    <w:rsid w:val="00F04976"/>
    <w:rsid w:val="00F13BEC"/>
    <w:rsid w:val="00F13FCE"/>
    <w:rsid w:val="00F17D60"/>
    <w:rsid w:val="00F21411"/>
    <w:rsid w:val="00F236F1"/>
    <w:rsid w:val="00F24871"/>
    <w:rsid w:val="00F26463"/>
    <w:rsid w:val="00F349F6"/>
    <w:rsid w:val="00F4345A"/>
    <w:rsid w:val="00F45C16"/>
    <w:rsid w:val="00F4780B"/>
    <w:rsid w:val="00F854FE"/>
    <w:rsid w:val="00FA1494"/>
    <w:rsid w:val="00FC6D37"/>
    <w:rsid w:val="01F80A87"/>
    <w:rsid w:val="025C04C1"/>
    <w:rsid w:val="03E9204D"/>
    <w:rsid w:val="044871B7"/>
    <w:rsid w:val="05DE1D42"/>
    <w:rsid w:val="063431A1"/>
    <w:rsid w:val="093B4E74"/>
    <w:rsid w:val="0D320156"/>
    <w:rsid w:val="0D6474E9"/>
    <w:rsid w:val="0DF773E2"/>
    <w:rsid w:val="0F8E3EAF"/>
    <w:rsid w:val="12224D1C"/>
    <w:rsid w:val="13987592"/>
    <w:rsid w:val="16545E00"/>
    <w:rsid w:val="16C44F84"/>
    <w:rsid w:val="16F058D8"/>
    <w:rsid w:val="1803611E"/>
    <w:rsid w:val="18CD6371"/>
    <w:rsid w:val="1AF57F3C"/>
    <w:rsid w:val="1EF067D7"/>
    <w:rsid w:val="201D5A3D"/>
    <w:rsid w:val="204B3111"/>
    <w:rsid w:val="23D35813"/>
    <w:rsid w:val="24324449"/>
    <w:rsid w:val="251B4817"/>
    <w:rsid w:val="285D5254"/>
    <w:rsid w:val="2A7D79DB"/>
    <w:rsid w:val="2B3D4499"/>
    <w:rsid w:val="2D7811C6"/>
    <w:rsid w:val="2F1B13B7"/>
    <w:rsid w:val="2FD71249"/>
    <w:rsid w:val="30215C2D"/>
    <w:rsid w:val="312D57A8"/>
    <w:rsid w:val="3273554B"/>
    <w:rsid w:val="32F80037"/>
    <w:rsid w:val="3359469F"/>
    <w:rsid w:val="34313A15"/>
    <w:rsid w:val="37E92FBC"/>
    <w:rsid w:val="386D6DD1"/>
    <w:rsid w:val="39BF1362"/>
    <w:rsid w:val="3A7601BF"/>
    <w:rsid w:val="3CB21C67"/>
    <w:rsid w:val="3E644FB1"/>
    <w:rsid w:val="3FAA090B"/>
    <w:rsid w:val="407F3F55"/>
    <w:rsid w:val="44C23EEC"/>
    <w:rsid w:val="479779C7"/>
    <w:rsid w:val="4E0B336F"/>
    <w:rsid w:val="4FF20AB0"/>
    <w:rsid w:val="50981F78"/>
    <w:rsid w:val="509F5ABC"/>
    <w:rsid w:val="51385D77"/>
    <w:rsid w:val="56114DE8"/>
    <w:rsid w:val="574203C9"/>
    <w:rsid w:val="58262838"/>
    <w:rsid w:val="59485AE9"/>
    <w:rsid w:val="5A7657DF"/>
    <w:rsid w:val="5CEC3FA9"/>
    <w:rsid w:val="5D3124C0"/>
    <w:rsid w:val="5EB30F48"/>
    <w:rsid w:val="5FEE0C51"/>
    <w:rsid w:val="62092B06"/>
    <w:rsid w:val="63AA6374"/>
    <w:rsid w:val="641E00B3"/>
    <w:rsid w:val="648E2FD3"/>
    <w:rsid w:val="64FC0B92"/>
    <w:rsid w:val="650A2542"/>
    <w:rsid w:val="673F4553"/>
    <w:rsid w:val="67A73B3A"/>
    <w:rsid w:val="67D86477"/>
    <w:rsid w:val="69D67A7B"/>
    <w:rsid w:val="6A8C0DA0"/>
    <w:rsid w:val="6B332304"/>
    <w:rsid w:val="6C9A1BF5"/>
    <w:rsid w:val="700E491B"/>
    <w:rsid w:val="70982B2F"/>
    <w:rsid w:val="71A60683"/>
    <w:rsid w:val="71F74432"/>
    <w:rsid w:val="72412F5B"/>
    <w:rsid w:val="745562D3"/>
    <w:rsid w:val="76097690"/>
    <w:rsid w:val="78D75D33"/>
    <w:rsid w:val="7A424EE9"/>
    <w:rsid w:val="7C4A5454"/>
    <w:rsid w:val="7D8D040D"/>
    <w:rsid w:val="7F6456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qFormat/>
    <w:uiPriority w:val="0"/>
    <w:rPr>
      <w:sz w:val="18"/>
      <w:szCs w:val="18"/>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autoRedefine/>
    <w:qFormat/>
    <w:uiPriority w:val="99"/>
    <w:pPr>
      <w:spacing w:before="100" w:beforeAutospacing="1" w:after="100" w:afterAutospacing="1"/>
      <w:jc w:val="left"/>
    </w:pPr>
    <w:rPr>
      <w:rFonts w:cs="Times New Roman"/>
      <w:kern w:val="0"/>
      <w:sz w:val="24"/>
    </w:rPr>
  </w:style>
  <w:style w:type="character" w:styleId="8">
    <w:name w:val="Hyperlink"/>
    <w:basedOn w:val="7"/>
    <w:autoRedefine/>
    <w:unhideWhenUsed/>
    <w:qFormat/>
    <w:uiPriority w:val="99"/>
    <w:rPr>
      <w:color w:val="0000FF"/>
      <w:u w:val="single"/>
    </w:rPr>
  </w:style>
  <w:style w:type="paragraph" w:styleId="9">
    <w:name w:val="List Paragraph"/>
    <w:basedOn w:val="1"/>
    <w:autoRedefine/>
    <w:unhideWhenUsed/>
    <w:qFormat/>
    <w:uiPriority w:val="99"/>
    <w:pPr>
      <w:ind w:firstLine="420" w:firstLineChars="200"/>
    </w:p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 w:type="paragraph" w:customStyle="1" w:styleId="11">
    <w:name w:val="cjk"/>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p"/>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1247</Words>
  <Characters>1298</Characters>
  <Lines>22</Lines>
  <Paragraphs>6</Paragraphs>
  <TotalTime>52</TotalTime>
  <ScaleCrop>false</ScaleCrop>
  <LinksUpToDate>false</LinksUpToDate>
  <CharactersWithSpaces>1303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2025-01-08T01:11:00Z</dcterms:created>
  <dc:creator>爱新觉罗-琛</dc:creator>
  <cp:lastModifiedBy>WPS_838572127</cp:lastModifiedBy>
  <cp:lastPrinted>2025-01-07T06:21:00Z</cp:lastPrinted>
  <dcterms:modified xsi:type="dcterms:W3CDTF">2025-01-17T07:51:39Z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898667870B64463B9C67C44C19F6ACE6_13</vt:lpwstr>
  </property>
  <property fmtid="{D5CDD505-2E9C-101B-9397-08002B2CF9AE}" pid="4" name="KSOTemplateDocerSaveRecord">
    <vt:lpwstr>eyJoZGlkIjoiNGE3MGYzZmMzMGQyYTk2NmJkMmVkNTQyYTU4YTY4NGYiLCJ1c2VySWQiOiI4Mzg1NzIxMjcifQ==</vt:lpwstr>
  </property>
</Properties>
</file>