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CA757">
      <w:pPr>
        <w:keepNext w:val="0"/>
        <w:keepLines w:val="0"/>
        <w:pageBreakBefore w:val="0"/>
        <w:widowControl/>
        <w:kinsoku/>
        <w:wordWrap/>
        <w:overflowPunct/>
        <w:topLinePunct w:val="0"/>
        <w:autoSpaceDE/>
        <w:autoSpaceDN/>
        <w:bidi w:val="0"/>
        <w:spacing w:after="0" w:line="600" w:lineRule="exact"/>
        <w:jc w:val="center"/>
        <w:textAlignment w:val="auto"/>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滕州市柴胡店镇</w:t>
      </w:r>
    </w:p>
    <w:p w14:paraId="3B4778EE">
      <w:pPr>
        <w:keepNext w:val="0"/>
        <w:keepLines w:val="0"/>
        <w:pageBreakBefore w:val="0"/>
        <w:widowControl/>
        <w:kinsoku/>
        <w:wordWrap/>
        <w:overflowPunct/>
        <w:topLinePunct w:val="0"/>
        <w:autoSpaceDE/>
        <w:autoSpaceDN/>
        <w:bidi w:val="0"/>
        <w:spacing w:after="0" w:line="600" w:lineRule="exact"/>
        <w:jc w:val="center"/>
        <w:textAlignment w:val="auto"/>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202</w:t>
      </w:r>
      <w:r>
        <w:rPr>
          <w:rFonts w:hint="eastAsia" w:ascii="方正小标宋简体" w:eastAsia="方正小标宋简体"/>
          <w:sz w:val="44"/>
          <w:szCs w:val="44"/>
          <w:highlight w:val="none"/>
          <w:lang w:val="en-US" w:eastAsia="zh-CN"/>
        </w:rPr>
        <w:t>4</w:t>
      </w:r>
      <w:r>
        <w:rPr>
          <w:rFonts w:hint="eastAsia" w:ascii="方正小标宋简体" w:eastAsia="方正小标宋简体"/>
          <w:sz w:val="44"/>
          <w:szCs w:val="44"/>
          <w:highlight w:val="none"/>
        </w:rPr>
        <w:t>年政府信息公开工作年度报告</w:t>
      </w:r>
    </w:p>
    <w:p w14:paraId="40B0A66C">
      <w:pPr>
        <w:keepNext w:val="0"/>
        <w:keepLines w:val="0"/>
        <w:pageBreakBefore w:val="0"/>
        <w:widowControl/>
        <w:kinsoku/>
        <w:wordWrap/>
        <w:overflowPunct/>
        <w:topLinePunct w:val="0"/>
        <w:autoSpaceDE/>
        <w:autoSpaceDN/>
        <w:bidi w:val="0"/>
        <w:spacing w:after="0" w:line="600" w:lineRule="exact"/>
        <w:jc w:val="center"/>
        <w:textAlignment w:val="auto"/>
        <w:rPr>
          <w:rFonts w:hint="eastAsia" w:ascii="方正小标宋简体" w:eastAsia="方正小标宋简体"/>
          <w:sz w:val="44"/>
          <w:szCs w:val="44"/>
          <w:highlight w:val="none"/>
        </w:rPr>
      </w:pPr>
    </w:p>
    <w:p w14:paraId="4BB1BF69">
      <w:pPr>
        <w:pStyle w:val="5"/>
        <w:keepNext w:val="0"/>
        <w:keepLines w:val="0"/>
        <w:pageBreakBefore w:val="0"/>
        <w:widowControl/>
        <w:kinsoku/>
        <w:wordWrap/>
        <w:overflowPunct/>
        <w:topLinePunct w:val="0"/>
        <w:autoSpaceDE/>
        <w:autoSpaceDN/>
        <w:bidi w:val="0"/>
        <w:spacing w:beforeAutospacing="0" w:after="0" w:afterAutospacing="0" w:line="600" w:lineRule="exact"/>
        <w:ind w:firstLine="640" w:firstLineChars="200"/>
        <w:jc w:val="both"/>
        <w:textAlignment w:val="auto"/>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 按照《中华人民共和国政府信息公开条例》和《国务院办公厅政府信息与政务公开办公室关于印发&lt;中华人民共和国政府信息公开工作年度报告格式&gt;的通知》（国办公开办函〔2021〕30号）以及有关文件要求，结合滕州市</w:t>
      </w:r>
      <w:r>
        <w:rPr>
          <w:rFonts w:hint="eastAsia" w:ascii="仿宋_GB2312" w:hAnsi="仿宋_GB2312" w:eastAsia="仿宋_GB2312" w:cs="仿宋_GB2312"/>
          <w:color w:val="000000"/>
          <w:sz w:val="32"/>
          <w:szCs w:val="32"/>
          <w:highlight w:val="none"/>
          <w:lang w:val="en-US" w:eastAsia="zh-CN"/>
        </w:rPr>
        <w:t>柴胡店镇</w:t>
      </w:r>
      <w:r>
        <w:rPr>
          <w:rFonts w:hint="eastAsia" w:ascii="仿宋_GB2312" w:hAnsi="仿宋_GB2312" w:eastAsia="仿宋_GB2312" w:cs="仿宋_GB2312"/>
          <w:color w:val="000000"/>
          <w:sz w:val="32"/>
          <w:szCs w:val="32"/>
          <w:highlight w:val="none"/>
          <w:lang w:eastAsia="zh-CN"/>
        </w:rPr>
        <w:t>人民政府202</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eastAsia="zh-CN"/>
        </w:rPr>
        <w:t>年度信息公开工作实际，编制本报告，现向社会公开。本报告所列数据的统计时限自202</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eastAsia="zh-CN"/>
        </w:rPr>
        <w:t>年1月1日起至202</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eastAsia="zh-CN"/>
        </w:rPr>
        <w:t>年12月31日止。</w:t>
      </w:r>
    </w:p>
    <w:p w14:paraId="79CC948C">
      <w:pPr>
        <w:pStyle w:val="5"/>
        <w:numPr>
          <w:ilvl w:val="0"/>
          <w:numId w:val="1"/>
        </w:numPr>
        <w:shd w:val="clear" w:color="auto" w:fill="FFFFFF"/>
        <w:spacing w:beforeAutospacing="0" w:afterAutospacing="0" w:line="560" w:lineRule="exact"/>
        <w:ind w:left="684" w:leftChars="0" w:firstLine="0" w:firstLineChars="0"/>
        <w:jc w:val="both"/>
        <w:rPr>
          <w:rFonts w:hint="eastAsia" w:ascii="黑体" w:hAnsi="黑体" w:eastAsia="黑体" w:cs="宋体"/>
          <w:color w:val="000000"/>
          <w:sz w:val="32"/>
          <w:szCs w:val="32"/>
          <w:highlight w:val="none"/>
        </w:rPr>
      </w:pPr>
      <w:r>
        <w:rPr>
          <w:rFonts w:hint="eastAsia" w:ascii="黑体" w:hAnsi="黑体" w:eastAsia="黑体" w:cs="宋体"/>
          <w:color w:val="000000"/>
          <w:sz w:val="32"/>
          <w:szCs w:val="32"/>
          <w:highlight w:val="none"/>
        </w:rPr>
        <w:t>总体情况</w:t>
      </w:r>
    </w:p>
    <w:p w14:paraId="40C09DAF">
      <w:pPr>
        <w:pStyle w:val="5"/>
        <w:widowControl/>
        <w:spacing w:beforeAutospacing="0" w:afterAutospacing="0" w:line="560" w:lineRule="exact"/>
        <w:ind w:firstLine="640" w:firstLineChars="200"/>
        <w:jc w:val="both"/>
        <w:rPr>
          <w:rFonts w:hint="eastAsia" w:ascii="仿宋_GB2312" w:hAnsi="仿宋_GB2312" w:eastAsia="仿宋_GB2312" w:cs="仿宋_GB2312"/>
          <w:i w:val="0"/>
          <w:iCs w:val="0"/>
          <w:caps w:val="0"/>
          <w:color w:val="333333"/>
          <w:spacing w:val="0"/>
          <w:sz w:val="32"/>
          <w:szCs w:val="32"/>
          <w:highlight w:val="none"/>
          <w:shd w:val="clear" w:fill="FFFFFF"/>
        </w:rPr>
      </w:pPr>
      <w:r>
        <w:rPr>
          <w:rFonts w:hint="eastAsia" w:ascii="仿宋_GB2312" w:hAnsi="仿宋_GB2312" w:eastAsia="仿宋_GB2312" w:cs="仿宋_GB2312"/>
          <w:i w:val="0"/>
          <w:iCs w:val="0"/>
          <w:caps w:val="0"/>
          <w:color w:val="000000"/>
          <w:spacing w:val="0"/>
          <w:sz w:val="32"/>
          <w:szCs w:val="32"/>
          <w:highlight w:val="none"/>
          <w:shd w:val="clear" w:fill="FFFFFF"/>
        </w:rPr>
        <w:t>2024年度，</w:t>
      </w: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柴胡店镇</w:t>
      </w:r>
      <w:r>
        <w:rPr>
          <w:rFonts w:hint="eastAsia" w:ascii="仿宋_GB2312" w:hAnsi="仿宋_GB2312" w:eastAsia="仿宋_GB2312" w:cs="仿宋_GB2312"/>
          <w:i w:val="0"/>
          <w:iCs w:val="0"/>
          <w:caps w:val="0"/>
          <w:color w:val="000000"/>
          <w:spacing w:val="0"/>
          <w:sz w:val="32"/>
          <w:szCs w:val="32"/>
          <w:highlight w:val="none"/>
          <w:shd w:val="clear" w:fill="FFFFFF"/>
        </w:rPr>
        <w:t>深入贯彻《中华人民共和国政府信息公开条例》，持续优化政府信息公开工作，不断提升政府工作透明度与公信力。通过强化主动公开、规范依申请公开流程、完善政府信息管理机制、优化信息公开平台及加强监督保障措施，全面推动政府信息公开工作迈上新台阶。</w:t>
      </w:r>
    </w:p>
    <w:p w14:paraId="34FB0488">
      <w:pPr>
        <w:pStyle w:val="5"/>
        <w:widowControl/>
        <w:numPr>
          <w:ilvl w:val="0"/>
          <w:numId w:val="0"/>
        </w:numPr>
        <w:spacing w:beforeAutospacing="0" w:afterAutospacing="0" w:line="560" w:lineRule="exact"/>
        <w:ind w:firstLine="640" w:firstLineChars="200"/>
        <w:jc w:val="both"/>
        <w:rPr>
          <w:rFonts w:hint="eastAsia" w:ascii="仿宋_GB2312" w:hAnsi="sans-serif" w:eastAsia="仿宋_GB2312" w:cs="仿宋_GB2312"/>
          <w:color w:val="000000"/>
          <w:sz w:val="32"/>
          <w:szCs w:val="32"/>
          <w:highlight w:val="none"/>
          <w:lang w:eastAsia="zh-CN"/>
        </w:rPr>
      </w:pPr>
      <w:r>
        <w:rPr>
          <w:rFonts w:hint="eastAsia" w:ascii="楷体_GB2312" w:hAnsi="楷体_GB2312" w:eastAsia="楷体_GB2312" w:cs="楷体_GB2312"/>
          <w:color w:val="000000"/>
          <w:sz w:val="32"/>
          <w:szCs w:val="32"/>
          <w:highlight w:val="none"/>
          <w:lang w:eastAsia="zh-CN"/>
        </w:rPr>
        <w:t>（</w:t>
      </w:r>
      <w:r>
        <w:rPr>
          <w:rFonts w:hint="eastAsia" w:ascii="楷体_GB2312" w:hAnsi="楷体_GB2312" w:eastAsia="楷体_GB2312" w:cs="楷体_GB2312"/>
          <w:color w:val="000000"/>
          <w:sz w:val="32"/>
          <w:szCs w:val="32"/>
          <w:highlight w:val="none"/>
          <w:lang w:val="en-US" w:eastAsia="zh-CN"/>
        </w:rPr>
        <w:t>一</w:t>
      </w:r>
      <w:r>
        <w:rPr>
          <w:rFonts w:hint="eastAsia" w:ascii="楷体_GB2312" w:hAnsi="楷体_GB2312" w:eastAsia="楷体_GB2312" w:cs="楷体_GB2312"/>
          <w:color w:val="000000"/>
          <w:sz w:val="32"/>
          <w:szCs w:val="32"/>
          <w:highlight w:val="none"/>
          <w:lang w:eastAsia="zh-CN"/>
        </w:rPr>
        <w:t>）</w:t>
      </w:r>
      <w:r>
        <w:rPr>
          <w:rFonts w:hint="eastAsia" w:ascii="楷体_GB2312" w:hAnsi="楷体_GB2312" w:eastAsia="楷体_GB2312" w:cs="楷体_GB2312"/>
          <w:color w:val="000000"/>
          <w:sz w:val="32"/>
          <w:szCs w:val="32"/>
          <w:highlight w:val="none"/>
        </w:rPr>
        <w:t>主动公开政府信息情况</w:t>
      </w:r>
    </w:p>
    <w:p w14:paraId="4076E9AA">
      <w:pPr>
        <w:keepNext w:val="0"/>
        <w:keepLines w:val="0"/>
        <w:pageBreakBefore w:val="0"/>
        <w:widowControl/>
        <w:kinsoku/>
        <w:wordWrap/>
        <w:overflowPunct/>
        <w:topLinePunct w:val="0"/>
        <w:autoSpaceDE/>
        <w:autoSpaceDN w:val="0"/>
        <w:bidi w:val="0"/>
        <w:adjustRightInd w:val="0"/>
        <w:snapToGrid w:val="0"/>
        <w:spacing w:line="560" w:lineRule="exact"/>
        <w:ind w:firstLine="640" w:firstLineChars="200"/>
        <w:jc w:val="both"/>
        <w:textAlignment w:val="auto"/>
        <w:rPr>
          <w:rFonts w:hint="eastAsia" w:ascii="仿宋_GB2312" w:hAnsi="仿宋_GB2312" w:eastAsia="仿宋_GB2312" w:cs="仿宋_GB2312"/>
          <w:i w:val="0"/>
          <w:iCs w:val="0"/>
          <w:caps w:val="0"/>
          <w:color w:val="000000"/>
          <w:spacing w:val="0"/>
          <w:sz w:val="32"/>
          <w:szCs w:val="32"/>
          <w:highlight w:val="none"/>
          <w:shd w:val="clear" w:fill="FFFFFF"/>
          <w:lang w:val="en-US" w:eastAsia="zh-CN" w:bidi="ar-SA"/>
        </w:rPr>
      </w:pPr>
      <w:r>
        <w:rPr>
          <w:rFonts w:hint="eastAsia" w:ascii="仿宋_GB2312" w:hAnsi="仿宋_GB2312" w:eastAsia="仿宋_GB2312" w:cs="仿宋_GB2312"/>
          <w:i w:val="0"/>
          <w:iCs w:val="0"/>
          <w:caps w:val="0"/>
          <w:color w:val="000000"/>
          <w:spacing w:val="0"/>
          <w:sz w:val="32"/>
          <w:szCs w:val="32"/>
          <w:highlight w:val="none"/>
          <w:shd w:val="clear" w:fill="FFFFFF"/>
          <w:lang w:val="en-US" w:eastAsia="zh-CN" w:bidi="ar-SA"/>
        </w:rPr>
        <w:t>柴胡店镇坚持把主动公开作为政府信息公开主渠道，扩大主动公开信息量，细化主动公开范围，及时在政府门户网站公开年度工作要点和规范性文件，接受群众监督，确保与公众密切相关的各类便民服务信息准确，及时发布和更新。我镇共发布政务信息2173条，其中，通过滕州市政府信息公开网发布24条、柴胡店镇官网发布815条、“柴胡店镇微讯”微信公众号发布1325条、线下张贴9条，内容涉及基层党建、政府建设、经济发展、城乡建设、文化教育等方面。在滕州市政府信息公开网发布的信息中，通知公告10条，政策文件1条，规划计划2条，组织管理9条，公开基本目录2条。</w:t>
      </w:r>
    </w:p>
    <w:p w14:paraId="4ECC696C">
      <w:pPr>
        <w:keepNext w:val="0"/>
        <w:keepLines w:val="0"/>
        <w:pageBreakBefore w:val="0"/>
        <w:widowControl/>
        <w:kinsoku/>
        <w:wordWrap/>
        <w:overflowPunct/>
        <w:topLinePunct w:val="0"/>
        <w:autoSpaceDE/>
        <w:autoSpaceDN w:val="0"/>
        <w:bidi w:val="0"/>
        <w:adjustRightInd w:val="0"/>
        <w:snapToGrid w:val="0"/>
        <w:spacing w:line="560" w:lineRule="exact"/>
        <w:jc w:val="both"/>
        <w:textAlignment w:val="auto"/>
        <w:rPr>
          <w:rFonts w:hint="eastAsia" w:ascii="仿宋_GB2312" w:hAnsi="仿宋_GB2312" w:eastAsia="仿宋_GB2312" w:cs="仿宋_GB2312"/>
          <w:i w:val="0"/>
          <w:iCs w:val="0"/>
          <w:caps w:val="0"/>
          <w:color w:val="000000"/>
          <w:spacing w:val="0"/>
          <w:sz w:val="32"/>
          <w:szCs w:val="32"/>
          <w:highlight w:val="none"/>
          <w:shd w:val="clear" w:fill="FFFFFF"/>
          <w:lang w:val="en-US" w:eastAsia="zh-CN" w:bidi="ar-SA"/>
        </w:rPr>
      </w:pPr>
      <w:r>
        <w:rPr>
          <w:rFonts w:hint="eastAsia" w:ascii="仿宋_GB2312" w:hAnsi="仿宋_GB2312" w:eastAsia="仿宋_GB2312" w:cs="仿宋_GB2312"/>
          <w:i w:val="0"/>
          <w:iCs w:val="0"/>
          <w:caps w:val="0"/>
          <w:color w:val="000000"/>
          <w:spacing w:val="0"/>
          <w:sz w:val="32"/>
          <w:szCs w:val="32"/>
          <w:highlight w:val="none"/>
          <w:shd w:val="clear" w:fill="FFFFFF"/>
          <w:lang w:val="en-US" w:eastAsia="zh-CN" w:bidi="ar-SA"/>
        </w:rPr>
        <w:drawing>
          <wp:anchor distT="0" distB="0" distL="114300" distR="114300" simplePos="0" relativeHeight="251660288" behindDoc="0" locked="0" layoutInCell="1" allowOverlap="1">
            <wp:simplePos x="0" y="0"/>
            <wp:positionH relativeFrom="column">
              <wp:posOffset>-136525</wp:posOffset>
            </wp:positionH>
            <wp:positionV relativeFrom="paragraph">
              <wp:posOffset>51435</wp:posOffset>
            </wp:positionV>
            <wp:extent cx="5337810" cy="3389630"/>
            <wp:effectExtent l="4445" t="4445" r="10795" b="15875"/>
            <wp:wrapTopAndBottom/>
            <wp:docPr id="1" name="图表 1" descr="7b0a202020202263686172745265734964223a202232303437363435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0EC241F1">
      <w:pPr>
        <w:autoSpaceDN w:val="0"/>
        <w:spacing w:line="195" w:lineRule="atLeast"/>
        <w:jc w:val="center"/>
        <w:rPr>
          <w:rFonts w:hint="eastAsia" w:ascii="仿宋_GB2312" w:hAnsi="仿宋_GB2312" w:eastAsia="仿宋_GB2312" w:cs="仿宋_GB2312"/>
          <w:color w:val="000000"/>
          <w:sz w:val="32"/>
          <w:szCs w:val="32"/>
          <w:highlight w:val="none"/>
          <w:shd w:val="clear" w:color="auto" w:fill="FFFFFF"/>
          <w:lang w:eastAsia="zh-CN"/>
        </w:rPr>
      </w:pPr>
      <w:r>
        <w:rPr>
          <w:rFonts w:hint="eastAsia" w:ascii="仿宋_GB2312" w:hAnsi="仿宋_GB2312" w:eastAsia="仿宋_GB2312" w:cs="仿宋_GB2312"/>
          <w:color w:val="000000"/>
          <w:sz w:val="32"/>
          <w:szCs w:val="32"/>
          <w:highlight w:val="none"/>
          <w:shd w:val="clear" w:color="auto" w:fill="FFFFFF"/>
          <w:lang w:eastAsia="zh-CN"/>
        </w:rPr>
        <w:drawing>
          <wp:inline distT="0" distB="0" distL="114300" distR="114300">
            <wp:extent cx="5303520" cy="2767965"/>
            <wp:effectExtent l="4445" t="4445" r="6985" b="8890"/>
            <wp:docPr id="2" name="图表 2" descr="7b0a202020202263686172745265734964223a2022343632353834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599416">
      <w:pPr>
        <w:pStyle w:val="5"/>
        <w:widowControl/>
        <w:spacing w:beforeAutospacing="0" w:afterAutospacing="0" w:line="600" w:lineRule="exact"/>
        <w:ind w:firstLine="320" w:firstLineChars="100"/>
        <w:jc w:val="both"/>
        <w:rPr>
          <w:rFonts w:ascii="楷体_GB2312" w:hAnsi="楷体_GB2312" w:eastAsia="楷体_GB2312" w:cs="楷体_GB2312"/>
          <w:color w:val="000000"/>
          <w:sz w:val="32"/>
          <w:szCs w:val="32"/>
          <w:highlight w:val="none"/>
        </w:rPr>
      </w:pPr>
      <w:r>
        <w:rPr>
          <w:rFonts w:ascii="楷体_GB2312" w:hAnsi="楷体_GB2312" w:eastAsia="楷体_GB2312" w:cs="楷体_GB2312"/>
          <w:color w:val="000000"/>
          <w:sz w:val="32"/>
          <w:szCs w:val="32"/>
          <w:highlight w:val="none"/>
        </w:rPr>
        <w:t>（二）依申请公开政府信息情况</w:t>
      </w:r>
    </w:p>
    <w:p w14:paraId="7EC3242F">
      <w:pPr>
        <w:pStyle w:val="5"/>
        <w:widowControl/>
        <w:spacing w:beforeAutospacing="0" w:afterAutospacing="0" w:line="600" w:lineRule="exact"/>
        <w:ind w:firstLine="555"/>
        <w:jc w:val="both"/>
        <w:rPr>
          <w:rFonts w:hint="eastAsia" w:ascii="仿宋_GB2312" w:hAnsi="sans-serif" w:eastAsia="仿宋_GB2312" w:cs="仿宋_GB2312"/>
          <w:color w:val="000000"/>
          <w:sz w:val="32"/>
          <w:szCs w:val="32"/>
          <w:highlight w:val="none"/>
        </w:rPr>
      </w:pPr>
      <w:r>
        <w:rPr>
          <w:rFonts w:hint="eastAsia" w:ascii="仿宋_GB2312" w:hAnsi="sans-serif" w:eastAsia="仿宋_GB2312" w:cs="仿宋_GB2312"/>
          <w:color w:val="000000"/>
          <w:sz w:val="32"/>
          <w:szCs w:val="32"/>
          <w:highlight w:val="none"/>
          <w:lang w:val="en-US" w:eastAsia="zh-CN"/>
        </w:rPr>
        <w:t>柴胡店镇</w:t>
      </w:r>
      <w:r>
        <w:rPr>
          <w:rFonts w:hint="eastAsia" w:ascii="仿宋_GB2312" w:hAnsi="sans-serif" w:eastAsia="仿宋_GB2312" w:cs="仿宋_GB2312"/>
          <w:color w:val="000000"/>
          <w:sz w:val="32"/>
          <w:szCs w:val="32"/>
          <w:highlight w:val="none"/>
        </w:rPr>
        <w:t>坚持“归口办理、依法有据、严谨规范、慎重稳妥”的原则，完善受理、审查、处理、答复以及保存备查等各环节流程,保证依申请公开流程科学、程序合法、答复规范，示范指引，真正提升效能、服务于民。</w:t>
      </w:r>
    </w:p>
    <w:p w14:paraId="71832FE3">
      <w:pPr>
        <w:pStyle w:val="5"/>
        <w:widowControl/>
        <w:spacing w:beforeAutospacing="0" w:afterAutospacing="0" w:line="600" w:lineRule="exact"/>
        <w:ind w:firstLine="555"/>
        <w:jc w:val="both"/>
        <w:rPr>
          <w:rFonts w:hint="eastAsia" w:ascii="仿宋_GB2312" w:hAnsi="sans-serif" w:eastAsia="仿宋_GB2312" w:cs="仿宋_GB2312"/>
          <w:color w:val="000000"/>
          <w:sz w:val="32"/>
          <w:szCs w:val="32"/>
          <w:highlight w:val="none"/>
          <w:lang w:val="en-US" w:eastAsia="zh-CN"/>
        </w:rPr>
      </w:pPr>
      <w:r>
        <w:rPr>
          <w:rFonts w:hint="eastAsia" w:ascii="仿宋_GB2312" w:hAnsi="sans-serif" w:eastAsia="仿宋_GB2312" w:cs="仿宋_GB2312"/>
          <w:color w:val="000000"/>
          <w:sz w:val="32"/>
          <w:szCs w:val="32"/>
          <w:highlight w:val="none"/>
        </w:rPr>
        <w:t>202</w:t>
      </w:r>
      <w:r>
        <w:rPr>
          <w:rFonts w:hint="eastAsia" w:ascii="仿宋_GB2312" w:hAnsi="sans-serif" w:eastAsia="仿宋_GB2312" w:cs="仿宋_GB2312"/>
          <w:color w:val="000000"/>
          <w:sz w:val="32"/>
          <w:szCs w:val="32"/>
          <w:highlight w:val="none"/>
          <w:lang w:val="en-US" w:eastAsia="zh-CN"/>
        </w:rPr>
        <w:t>4</w:t>
      </w:r>
      <w:r>
        <w:rPr>
          <w:rFonts w:hint="eastAsia" w:ascii="仿宋_GB2312" w:hAnsi="sans-serif" w:eastAsia="仿宋_GB2312" w:cs="仿宋_GB2312"/>
          <w:color w:val="000000"/>
          <w:sz w:val="32"/>
          <w:szCs w:val="32"/>
          <w:highlight w:val="none"/>
        </w:rPr>
        <w:t>年</w:t>
      </w:r>
      <w:r>
        <w:rPr>
          <w:rFonts w:hint="eastAsia" w:ascii="仿宋_GB2312" w:hAnsi="sans-serif" w:eastAsia="仿宋_GB2312" w:cs="仿宋_GB2312"/>
          <w:color w:val="000000"/>
          <w:sz w:val="32"/>
          <w:szCs w:val="32"/>
          <w:highlight w:val="none"/>
          <w:lang w:val="en-US" w:eastAsia="zh-CN"/>
        </w:rPr>
        <w:t>柴胡店</w:t>
      </w:r>
      <w:r>
        <w:rPr>
          <w:rFonts w:hint="eastAsia" w:ascii="仿宋_GB2312" w:hAnsi="sans-serif" w:eastAsia="仿宋_GB2312" w:cs="仿宋_GB2312"/>
          <w:color w:val="000000"/>
          <w:sz w:val="32"/>
          <w:szCs w:val="32"/>
          <w:highlight w:val="none"/>
        </w:rPr>
        <w:t>镇</w:t>
      </w:r>
      <w:r>
        <w:rPr>
          <w:rFonts w:hint="eastAsia" w:ascii="仿宋_GB2312" w:hAnsi="sans-serif" w:eastAsia="仿宋_GB2312" w:cs="仿宋_GB2312"/>
          <w:color w:val="000000"/>
          <w:sz w:val="32"/>
          <w:szCs w:val="32"/>
          <w:highlight w:val="none"/>
          <w:lang w:val="en-US" w:eastAsia="zh-CN"/>
        </w:rPr>
        <w:t>未接到政府信息依申请公开，未产生因政府信息公开引发的行政复议和行政诉讼，</w:t>
      </w:r>
      <w:r>
        <w:rPr>
          <w:rFonts w:ascii="仿宋_GB2312" w:hAnsi="sans-serif" w:eastAsia="仿宋_GB2312" w:cs="仿宋_GB2312"/>
          <w:color w:val="000000"/>
          <w:sz w:val="32"/>
          <w:szCs w:val="32"/>
          <w:highlight w:val="none"/>
        </w:rPr>
        <w:t>公开依申请事项与往年相比数量无变化</w:t>
      </w:r>
      <w:r>
        <w:rPr>
          <w:rFonts w:hint="eastAsia" w:ascii="仿宋_GB2312" w:hAnsi="sans-serif" w:eastAsia="仿宋_GB2312" w:cs="仿宋_GB2312"/>
          <w:color w:val="000000"/>
          <w:sz w:val="32"/>
          <w:szCs w:val="32"/>
          <w:highlight w:val="none"/>
          <w:lang w:eastAsia="zh-CN"/>
        </w:rPr>
        <w:t>。</w:t>
      </w:r>
    </w:p>
    <w:p w14:paraId="0D860080">
      <w:pPr>
        <w:pStyle w:val="5"/>
        <w:widowControl/>
        <w:spacing w:beforeAutospacing="0" w:afterAutospacing="0" w:line="600" w:lineRule="exact"/>
        <w:ind w:firstLine="555"/>
        <w:jc w:val="both"/>
        <w:rPr>
          <w:rFonts w:ascii="楷体_GB2312" w:hAnsi="楷体_GB2312" w:eastAsia="楷体_GB2312" w:cs="楷体_GB2312"/>
          <w:color w:val="000000"/>
          <w:sz w:val="32"/>
          <w:szCs w:val="32"/>
          <w:highlight w:val="none"/>
        </w:rPr>
      </w:pPr>
      <w:r>
        <w:rPr>
          <w:rFonts w:ascii="楷体_GB2312" w:hAnsi="楷体_GB2312" w:eastAsia="楷体_GB2312" w:cs="楷体_GB2312"/>
          <w:color w:val="000000"/>
          <w:sz w:val="32"/>
          <w:szCs w:val="32"/>
          <w:highlight w:val="none"/>
        </w:rPr>
        <w:t>（三）政府信息管理情况</w:t>
      </w:r>
    </w:p>
    <w:p w14:paraId="5FBA016A">
      <w:pPr>
        <w:pStyle w:val="5"/>
        <w:widowControl/>
        <w:spacing w:beforeAutospacing="0" w:afterAutospacing="0" w:line="600" w:lineRule="exact"/>
        <w:ind w:firstLine="555"/>
        <w:jc w:val="both"/>
        <w:rPr>
          <w:rFonts w:hint="eastAsia" w:ascii="仿宋_GB2312" w:hAnsi="sans-serif" w:eastAsia="仿宋_GB2312" w:cs="仿宋_GB2312"/>
          <w:color w:val="000000"/>
          <w:sz w:val="32"/>
          <w:szCs w:val="32"/>
          <w:highlight w:val="none"/>
          <w:lang w:val="en-US" w:eastAsia="zh-CN"/>
        </w:rPr>
      </w:pPr>
      <w:r>
        <w:rPr>
          <w:rFonts w:hint="eastAsia" w:ascii="仿宋_GB2312" w:hAnsi="sans-serif" w:eastAsia="仿宋_GB2312" w:cs="仿宋_GB2312"/>
          <w:color w:val="000000"/>
          <w:sz w:val="32"/>
          <w:szCs w:val="32"/>
          <w:highlight w:val="none"/>
          <w:lang w:val="en-US" w:eastAsia="zh-CN"/>
        </w:rPr>
        <w:t>柴胡店镇不断完善政府信息主动公开目录，实现了信息的分类清晰、易于检索。建立了政府信息全生命周期管理制度，从信息生成、审核、发布到归档，均有明确流程和责任分工。同时，强化了政府信息公开保密审查制度，确保公开信息不涉密、涉密信息不公开。为确保政务公开的透明度与高效性，强化政府信息的管理体系。柴胡店镇规范信息发布流程，明确发布渠道，不断精进信息发布审核机制，从源头上确保信息的准确性与安全性。信息的发布力求及时、精确、稳妥，对主动公开的内容实施严格的多级审核制度。同时，积极探索政务公开的新途径，通过多样化形式，营造全社会广泛关注、全民积极参与安全生产的浓厚氛围，让政务公开成为连接政府与民众的桥梁。</w:t>
      </w:r>
    </w:p>
    <w:p w14:paraId="0D15FD06">
      <w:pPr>
        <w:pStyle w:val="5"/>
        <w:widowControl/>
        <w:spacing w:beforeAutospacing="0" w:afterAutospacing="0" w:line="600" w:lineRule="exact"/>
        <w:ind w:firstLine="640" w:firstLineChars="200"/>
        <w:jc w:val="both"/>
        <w:rPr>
          <w:rFonts w:ascii="楷体_GB2312" w:hAnsi="楷体_GB2312" w:eastAsia="楷体_GB2312" w:cs="楷体_GB2312"/>
          <w:color w:val="000000"/>
          <w:sz w:val="32"/>
          <w:szCs w:val="32"/>
          <w:highlight w:val="none"/>
        </w:rPr>
      </w:pPr>
      <w:r>
        <w:rPr>
          <w:rFonts w:ascii="楷体_GB2312" w:hAnsi="楷体_GB2312" w:eastAsia="楷体_GB2312" w:cs="楷体_GB2312"/>
          <w:color w:val="000000"/>
          <w:sz w:val="32"/>
          <w:szCs w:val="32"/>
          <w:highlight w:val="none"/>
        </w:rPr>
        <w:t>（四）公开平台建设情况</w:t>
      </w:r>
    </w:p>
    <w:p w14:paraId="3019DA50">
      <w:pPr>
        <w:shd w:val="clear" w:color="auto" w:fill="FFFFFF"/>
        <w:adjustRightInd/>
        <w:snapToGrid/>
        <w:spacing w:after="0" w:line="555" w:lineRule="atLeast"/>
        <w:ind w:firstLine="640" w:firstLineChars="200"/>
        <w:jc w:val="both"/>
        <w:rPr>
          <w:rFonts w:ascii="仿宋_GB2312" w:hAnsi="sans-serif" w:eastAsia="仿宋_GB2312" w:cs="仿宋_GB2312"/>
          <w:color w:val="000000"/>
          <w:sz w:val="32"/>
          <w:szCs w:val="32"/>
          <w:highlight w:val="none"/>
          <w:lang w:val="en-US" w:eastAsia="zh-CN" w:bidi="ar-SA"/>
        </w:rPr>
      </w:pPr>
      <w:r>
        <w:rPr>
          <w:rFonts w:hint="eastAsia" w:ascii="仿宋_GB2312" w:hAnsi="sans-serif" w:eastAsia="仿宋_GB2312" w:cs="仿宋_GB2312"/>
          <w:color w:val="000000"/>
          <w:sz w:val="32"/>
          <w:szCs w:val="32"/>
          <w:highlight w:val="none"/>
          <w:lang w:val="en-US" w:eastAsia="zh-CN" w:bidi="ar-SA"/>
        </w:rPr>
        <w:t>按照市级统一规划，致力于政务公开平台建设，采取官方网站作为主要渠道，定期更新并精心维护滕州市人民政府官网信息公开页面，该网站成为及时向社会通报本级政务动态、公示公告及政策解读的重要窗口。同时，还充分利用“柴胡店镇微讯”微信公众号，确保信息的全面性与时效性，广泛推送镇域经济社会发展亮点、活动预告、工作进展等，让公众能够便捷地获取镇政府的最新动态，有效拓宽了政务公开的覆盖面与影响力。</w:t>
      </w:r>
    </w:p>
    <w:p w14:paraId="666EF8CA">
      <w:pPr>
        <w:pStyle w:val="5"/>
        <w:widowControl/>
        <w:spacing w:beforeAutospacing="0" w:afterAutospacing="0" w:line="600" w:lineRule="exact"/>
        <w:ind w:firstLine="555"/>
        <w:jc w:val="both"/>
        <w:rPr>
          <w:rFonts w:ascii="楷体_GB2312" w:hAnsi="楷体_GB2312" w:eastAsia="楷体_GB2312" w:cs="楷体_GB2312"/>
          <w:color w:val="000000"/>
          <w:sz w:val="32"/>
          <w:szCs w:val="32"/>
          <w:highlight w:val="none"/>
        </w:rPr>
      </w:pPr>
      <w:r>
        <w:rPr>
          <w:rFonts w:ascii="楷体_GB2312" w:hAnsi="楷体_GB2312" w:eastAsia="楷体_GB2312" w:cs="楷体_GB2312"/>
          <w:color w:val="000000"/>
          <w:sz w:val="32"/>
          <w:szCs w:val="32"/>
          <w:highlight w:val="none"/>
        </w:rPr>
        <w:t>（五）监督保障情况</w:t>
      </w:r>
    </w:p>
    <w:p w14:paraId="58982CB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634"/>
        <w:rPr>
          <w:rFonts w:hint="eastAsia" w:ascii="仿宋_GB2312" w:hAnsi="宋体" w:eastAsia="仿宋_GB2312" w:cs="宋体"/>
          <w:color w:val="000000"/>
          <w:sz w:val="32"/>
          <w:szCs w:val="32"/>
          <w:highlight w:val="none"/>
          <w:lang w:val="en-US" w:eastAsia="zh-CN"/>
        </w:rPr>
      </w:pPr>
      <w:r>
        <w:rPr>
          <w:rFonts w:hint="eastAsia" w:ascii="仿宋_GB2312" w:hAnsi="宋体" w:eastAsia="仿宋_GB2312" w:cs="宋体"/>
          <w:color w:val="000000"/>
          <w:sz w:val="32"/>
          <w:szCs w:val="32"/>
          <w:highlight w:val="none"/>
          <w:lang w:val="en-US" w:eastAsia="zh-CN"/>
        </w:rPr>
        <w:t>加强对政务公开工作的领导，实行“党委统一领导、政府主抓、人大监督实施、党政办组织协调”的工作机制，确保政务公开工作有机构承担、有人员负责。建立健全政府信息公开工作考核制度和责任追究制度，定期对政府信息公开工作进行考核。同时积极参加或者定期组织对涉政务公开工作人员进行专题培训，提升业务水平。</w:t>
      </w:r>
    </w:p>
    <w:p w14:paraId="58DD6A0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634"/>
        <w:rPr>
          <w:rFonts w:hint="eastAsia" w:ascii="仿宋_GB2312" w:hAnsi="宋体" w:eastAsia="仿宋_GB2312" w:cs="宋体"/>
          <w:color w:val="000000"/>
          <w:sz w:val="32"/>
          <w:szCs w:val="32"/>
          <w:highlight w:val="none"/>
          <w:lang w:val="en-US" w:eastAsia="zh-CN"/>
        </w:rPr>
      </w:pPr>
      <w:r>
        <w:rPr>
          <w:rFonts w:hint="eastAsia" w:ascii="仿宋_GB2312" w:hAnsi="宋体" w:eastAsia="仿宋_GB2312" w:cs="宋体"/>
          <w:color w:val="000000"/>
          <w:sz w:val="32"/>
          <w:szCs w:val="32"/>
          <w:highlight w:val="none"/>
          <w:lang w:val="en-US" w:eastAsia="zh-CN"/>
        </w:rPr>
        <w:t>2024年未发生因信息公开审查不当或保密审查机构未履行保密审查职责而引起的失泄密情况。</w:t>
      </w:r>
    </w:p>
    <w:p w14:paraId="11D3822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 w:lineRule="atLeast"/>
        <w:ind w:left="0" w:right="0" w:firstLine="634"/>
        <w:rPr>
          <w:rFonts w:hint="default" w:ascii="仿宋_GB2312" w:hAnsi="宋体" w:eastAsia="仿宋_GB2312" w:cs="宋体"/>
          <w:color w:val="000000"/>
          <w:sz w:val="32"/>
          <w:szCs w:val="32"/>
          <w:highlight w:val="none"/>
          <w:lang w:val="en-US" w:eastAsia="zh-CN"/>
        </w:rPr>
      </w:pPr>
      <w:r>
        <w:rPr>
          <w:rFonts w:hint="eastAsia" w:ascii="仿宋_GB2312" w:hAnsi="宋体" w:eastAsia="仿宋_GB2312" w:cs="宋体"/>
          <w:color w:val="000000"/>
          <w:sz w:val="32"/>
          <w:szCs w:val="32"/>
          <w:highlight w:val="none"/>
          <w:lang w:val="en-US" w:eastAsia="zh-CN"/>
        </w:rPr>
        <w:t>2024年度未进行社会评议</w:t>
      </w:r>
      <w:r>
        <w:rPr>
          <w:rFonts w:hint="eastAsia" w:ascii="仿宋_GB2312" w:hAnsi="宋体" w:eastAsia="仿宋_GB2312" w:cs="宋体"/>
          <w:color w:val="000000"/>
          <w:sz w:val="32"/>
          <w:szCs w:val="32"/>
          <w:highlight w:val="none"/>
          <w:lang w:val="en-US" w:eastAsia="zh-CN"/>
        </w:rPr>
        <w:t>，未发生责任追究情况。</w:t>
      </w:r>
    </w:p>
    <w:p w14:paraId="6B6E9C12">
      <w:pPr>
        <w:pStyle w:val="5"/>
        <w:numPr>
          <w:ilvl w:val="0"/>
          <w:numId w:val="0"/>
        </w:numPr>
        <w:shd w:val="clear" w:color="auto" w:fill="FFFFFF"/>
        <w:spacing w:beforeAutospacing="0" w:afterAutospacing="0" w:line="560" w:lineRule="exact"/>
        <w:ind w:firstLine="640" w:firstLineChars="200"/>
        <w:jc w:val="both"/>
        <w:rPr>
          <w:rFonts w:hint="eastAsia" w:ascii="黑体" w:hAnsi="黑体" w:eastAsia="黑体" w:cs="宋体"/>
          <w:color w:val="000000"/>
          <w:sz w:val="32"/>
          <w:szCs w:val="32"/>
          <w:highlight w:val="none"/>
        </w:rPr>
      </w:pPr>
      <w:r>
        <w:rPr>
          <w:rFonts w:hint="eastAsia" w:ascii="黑体" w:hAnsi="黑体" w:eastAsia="黑体" w:cs="宋体"/>
          <w:color w:val="000000"/>
          <w:sz w:val="32"/>
          <w:szCs w:val="32"/>
          <w:highlight w:val="none"/>
        </w:rPr>
        <w:t>二、主动公开政府信息情况</w:t>
      </w:r>
    </w:p>
    <w:tbl>
      <w:tblPr>
        <w:tblStyle w:val="6"/>
        <w:tblW w:w="8860" w:type="dxa"/>
        <w:tblInd w:w="0" w:type="dxa"/>
        <w:tblLayout w:type="fixed"/>
        <w:tblCellMar>
          <w:top w:w="0" w:type="dxa"/>
          <w:left w:w="108" w:type="dxa"/>
          <w:bottom w:w="0" w:type="dxa"/>
          <w:right w:w="108" w:type="dxa"/>
        </w:tblCellMar>
      </w:tblPr>
      <w:tblGrid>
        <w:gridCol w:w="2215"/>
        <w:gridCol w:w="2215"/>
        <w:gridCol w:w="2215"/>
        <w:gridCol w:w="2215"/>
      </w:tblGrid>
      <w:tr w14:paraId="39283E39">
        <w:tblPrEx>
          <w:tblCellMar>
            <w:top w:w="0" w:type="dxa"/>
            <w:left w:w="108" w:type="dxa"/>
            <w:bottom w:w="0" w:type="dxa"/>
            <w:right w:w="108" w:type="dxa"/>
          </w:tblCellMar>
        </w:tblPrEx>
        <w:trPr>
          <w:trHeight w:val="596" w:hRule="atLeast"/>
        </w:trPr>
        <w:tc>
          <w:tcPr>
            <w:tcW w:w="8860"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1B0E7EB0">
            <w:pPr>
              <w:widowControl/>
              <w:jc w:val="center"/>
              <w:rPr>
                <w:rFonts w:ascii="黑体" w:hAnsi="黑体" w:eastAsia="黑体" w:cs="宋体"/>
                <w:color w:val="000000"/>
                <w:kern w:val="0"/>
                <w:szCs w:val="21"/>
                <w:highlight w:val="none"/>
              </w:rPr>
            </w:pPr>
            <w:r>
              <w:rPr>
                <w:rFonts w:hint="eastAsia" w:ascii="黑体" w:hAnsi="黑体" w:eastAsia="黑体" w:cs="宋体"/>
                <w:color w:val="000000"/>
                <w:kern w:val="0"/>
                <w:szCs w:val="21"/>
                <w:highlight w:val="none"/>
              </w:rPr>
              <w:t>第二十条第（一）项</w:t>
            </w:r>
          </w:p>
        </w:tc>
      </w:tr>
      <w:tr w14:paraId="67C59D5D">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078FA016">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信息内容</w:t>
            </w:r>
          </w:p>
        </w:tc>
        <w:tc>
          <w:tcPr>
            <w:tcW w:w="2215" w:type="dxa"/>
            <w:tcBorders>
              <w:top w:val="nil"/>
              <w:left w:val="nil"/>
              <w:bottom w:val="single" w:color="auto" w:sz="8" w:space="0"/>
              <w:right w:val="single" w:color="auto" w:sz="8" w:space="0"/>
            </w:tcBorders>
            <w:noWrap w:val="0"/>
            <w:vAlign w:val="center"/>
          </w:tcPr>
          <w:p w14:paraId="5264A543">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本年制发件数</w:t>
            </w:r>
          </w:p>
        </w:tc>
        <w:tc>
          <w:tcPr>
            <w:tcW w:w="2215" w:type="dxa"/>
            <w:tcBorders>
              <w:top w:val="nil"/>
              <w:left w:val="nil"/>
              <w:bottom w:val="single" w:color="auto" w:sz="8" w:space="0"/>
              <w:right w:val="single" w:color="auto" w:sz="8" w:space="0"/>
            </w:tcBorders>
            <w:noWrap w:val="0"/>
            <w:vAlign w:val="center"/>
          </w:tcPr>
          <w:p w14:paraId="5A1E3F83">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本年废止件数</w:t>
            </w:r>
          </w:p>
        </w:tc>
        <w:tc>
          <w:tcPr>
            <w:tcW w:w="2215" w:type="dxa"/>
            <w:tcBorders>
              <w:top w:val="nil"/>
              <w:left w:val="nil"/>
              <w:bottom w:val="single" w:color="auto" w:sz="8" w:space="0"/>
              <w:right w:val="single" w:color="auto" w:sz="8" w:space="0"/>
            </w:tcBorders>
            <w:noWrap w:val="0"/>
            <w:vAlign w:val="center"/>
          </w:tcPr>
          <w:p w14:paraId="67D522FF">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现行有效件数</w:t>
            </w:r>
          </w:p>
        </w:tc>
      </w:tr>
      <w:tr w14:paraId="274686D1">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7B6E9B85">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规章</w:t>
            </w:r>
          </w:p>
        </w:tc>
        <w:tc>
          <w:tcPr>
            <w:tcW w:w="2215" w:type="dxa"/>
            <w:tcBorders>
              <w:top w:val="nil"/>
              <w:left w:val="nil"/>
              <w:bottom w:val="single" w:color="auto" w:sz="8" w:space="0"/>
              <w:right w:val="single" w:color="auto" w:sz="8" w:space="0"/>
            </w:tcBorders>
            <w:noWrap w:val="0"/>
            <w:vAlign w:val="center"/>
          </w:tcPr>
          <w:p w14:paraId="622B5B7E">
            <w:pPr>
              <w:widowControl/>
              <w:jc w:val="center"/>
              <w:rPr>
                <w:rFonts w:hint="eastAsia" w:ascii="仿宋_GB2312" w:hAnsi="宋体" w:eastAsia="仿宋_GB2312" w:cs="宋体"/>
                <w:color w:val="auto"/>
                <w:kern w:val="0"/>
                <w:szCs w:val="21"/>
                <w:highlight w:val="none"/>
                <w:lang w:eastAsia="zh-CN"/>
              </w:rPr>
            </w:pPr>
            <w:r>
              <w:rPr>
                <w:rFonts w:hint="eastAsia" w:ascii="仿宋_GB2312" w:hAnsi="宋体" w:eastAsia="仿宋_GB2312" w:cs="宋体"/>
                <w:color w:val="auto"/>
                <w:kern w:val="0"/>
                <w:szCs w:val="21"/>
                <w:highlight w:val="none"/>
                <w:lang w:val="en-US" w:eastAsia="zh-CN"/>
              </w:rPr>
              <w:t>0</w:t>
            </w:r>
          </w:p>
        </w:tc>
        <w:tc>
          <w:tcPr>
            <w:tcW w:w="2215" w:type="dxa"/>
            <w:tcBorders>
              <w:top w:val="nil"/>
              <w:left w:val="nil"/>
              <w:bottom w:val="single" w:color="auto" w:sz="8" w:space="0"/>
              <w:right w:val="single" w:color="auto" w:sz="8" w:space="0"/>
            </w:tcBorders>
            <w:noWrap w:val="0"/>
            <w:vAlign w:val="center"/>
          </w:tcPr>
          <w:p w14:paraId="3F0B7202">
            <w:pPr>
              <w:widowControl/>
              <w:jc w:val="center"/>
              <w:rPr>
                <w:rFonts w:ascii="仿宋_GB2312" w:hAnsi="宋体" w:eastAsia="仿宋_GB2312" w:cs="宋体"/>
                <w:color w:val="auto"/>
                <w:kern w:val="0"/>
                <w:szCs w:val="21"/>
                <w:highlight w:val="none"/>
              </w:rPr>
            </w:pPr>
            <w:r>
              <w:rPr>
                <w:rFonts w:hint="eastAsia" w:ascii="仿宋_GB2312" w:hAnsi="宋体" w:eastAsia="仿宋_GB2312" w:cs="宋体"/>
                <w:color w:val="auto"/>
                <w:kern w:val="0"/>
                <w:szCs w:val="21"/>
                <w:highlight w:val="none"/>
                <w:lang w:val="en-US" w:eastAsia="zh-CN"/>
              </w:rPr>
              <w:t>0</w:t>
            </w:r>
          </w:p>
        </w:tc>
        <w:tc>
          <w:tcPr>
            <w:tcW w:w="2215" w:type="dxa"/>
            <w:tcBorders>
              <w:top w:val="nil"/>
              <w:left w:val="nil"/>
              <w:bottom w:val="single" w:color="auto" w:sz="8" w:space="0"/>
              <w:right w:val="single" w:color="auto" w:sz="8" w:space="0"/>
            </w:tcBorders>
            <w:noWrap w:val="0"/>
            <w:vAlign w:val="center"/>
          </w:tcPr>
          <w:p w14:paraId="5BBFF339">
            <w:pPr>
              <w:widowControl/>
              <w:jc w:val="center"/>
              <w:rPr>
                <w:rFonts w:ascii="仿宋_GB2312" w:hAnsi="Calibri" w:eastAsia="仿宋_GB2312" w:cs="Calibri"/>
                <w:color w:val="auto"/>
                <w:kern w:val="0"/>
                <w:szCs w:val="21"/>
                <w:highlight w:val="none"/>
              </w:rPr>
            </w:pPr>
            <w:r>
              <w:rPr>
                <w:rFonts w:hint="eastAsia" w:ascii="仿宋_GB2312" w:hAnsi="宋体" w:eastAsia="仿宋_GB2312" w:cs="宋体"/>
                <w:color w:val="auto"/>
                <w:kern w:val="0"/>
                <w:szCs w:val="21"/>
                <w:highlight w:val="none"/>
                <w:lang w:val="en-US" w:eastAsia="zh-CN"/>
              </w:rPr>
              <w:t>0</w:t>
            </w:r>
          </w:p>
        </w:tc>
      </w:tr>
      <w:tr w14:paraId="0606B241">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4DB23D3C">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行政规范性文件</w:t>
            </w:r>
          </w:p>
        </w:tc>
        <w:tc>
          <w:tcPr>
            <w:tcW w:w="2215" w:type="dxa"/>
            <w:tcBorders>
              <w:top w:val="nil"/>
              <w:left w:val="nil"/>
              <w:bottom w:val="single" w:color="auto" w:sz="8" w:space="0"/>
              <w:right w:val="single" w:color="auto" w:sz="8" w:space="0"/>
            </w:tcBorders>
            <w:noWrap w:val="0"/>
            <w:vAlign w:val="center"/>
          </w:tcPr>
          <w:p w14:paraId="011E161E">
            <w:pPr>
              <w:widowControl/>
              <w:jc w:val="center"/>
              <w:rPr>
                <w:rFonts w:hint="eastAsia" w:ascii="仿宋_GB2312" w:hAnsi="宋体" w:eastAsia="仿宋_GB2312" w:cs="宋体"/>
                <w:color w:val="auto"/>
                <w:kern w:val="0"/>
                <w:szCs w:val="21"/>
                <w:highlight w:val="none"/>
                <w:lang w:eastAsia="zh-CN"/>
              </w:rPr>
            </w:pPr>
            <w:r>
              <w:rPr>
                <w:rFonts w:hint="eastAsia" w:ascii="仿宋_GB2312" w:hAnsi="宋体" w:eastAsia="仿宋_GB2312" w:cs="宋体"/>
                <w:color w:val="auto"/>
                <w:kern w:val="0"/>
                <w:szCs w:val="21"/>
                <w:highlight w:val="none"/>
                <w:lang w:val="en-US" w:eastAsia="zh-CN"/>
              </w:rPr>
              <w:t>0</w:t>
            </w:r>
          </w:p>
        </w:tc>
        <w:tc>
          <w:tcPr>
            <w:tcW w:w="2215" w:type="dxa"/>
            <w:tcBorders>
              <w:top w:val="nil"/>
              <w:left w:val="nil"/>
              <w:bottom w:val="single" w:color="auto" w:sz="8" w:space="0"/>
              <w:right w:val="single" w:color="auto" w:sz="8" w:space="0"/>
            </w:tcBorders>
            <w:noWrap w:val="0"/>
            <w:vAlign w:val="center"/>
          </w:tcPr>
          <w:p w14:paraId="700A277C">
            <w:pPr>
              <w:widowControl/>
              <w:jc w:val="center"/>
              <w:rPr>
                <w:rFonts w:hint="eastAsia" w:ascii="仿宋_GB2312" w:hAnsi="宋体" w:eastAsia="仿宋_GB2312" w:cs="宋体"/>
                <w:color w:val="auto"/>
                <w:kern w:val="0"/>
                <w:szCs w:val="21"/>
                <w:highlight w:val="none"/>
                <w:lang w:eastAsia="zh-CN"/>
              </w:rPr>
            </w:pPr>
            <w:r>
              <w:rPr>
                <w:rFonts w:hint="eastAsia" w:ascii="仿宋_GB2312" w:hAnsi="宋体" w:eastAsia="仿宋_GB2312" w:cs="宋体"/>
                <w:color w:val="auto"/>
                <w:kern w:val="0"/>
                <w:szCs w:val="21"/>
                <w:highlight w:val="none"/>
                <w:lang w:val="en-US" w:eastAsia="zh-CN"/>
              </w:rPr>
              <w:t>0</w:t>
            </w:r>
          </w:p>
        </w:tc>
        <w:tc>
          <w:tcPr>
            <w:tcW w:w="2215" w:type="dxa"/>
            <w:tcBorders>
              <w:top w:val="nil"/>
              <w:left w:val="nil"/>
              <w:bottom w:val="single" w:color="auto" w:sz="8" w:space="0"/>
              <w:right w:val="single" w:color="auto" w:sz="8" w:space="0"/>
            </w:tcBorders>
            <w:noWrap w:val="0"/>
            <w:vAlign w:val="center"/>
          </w:tcPr>
          <w:p w14:paraId="7FFBD6C6">
            <w:pPr>
              <w:widowControl/>
              <w:jc w:val="center"/>
              <w:rPr>
                <w:rFonts w:hint="eastAsia" w:ascii="仿宋_GB2312" w:hAnsi="宋体" w:eastAsia="仿宋_GB2312" w:cs="宋体"/>
                <w:color w:val="auto"/>
                <w:kern w:val="0"/>
                <w:szCs w:val="21"/>
                <w:highlight w:val="none"/>
                <w:lang w:eastAsia="zh-CN"/>
              </w:rPr>
            </w:pPr>
            <w:r>
              <w:rPr>
                <w:rFonts w:hint="eastAsia" w:ascii="仿宋_GB2312" w:hAnsi="宋体" w:eastAsia="仿宋_GB2312" w:cs="宋体"/>
                <w:color w:val="auto"/>
                <w:kern w:val="0"/>
                <w:szCs w:val="21"/>
                <w:highlight w:val="none"/>
                <w:lang w:val="en-US" w:eastAsia="zh-CN"/>
              </w:rPr>
              <w:t>0</w:t>
            </w:r>
          </w:p>
        </w:tc>
      </w:tr>
      <w:tr w14:paraId="26F024BB">
        <w:tblPrEx>
          <w:tblCellMar>
            <w:top w:w="0" w:type="dxa"/>
            <w:left w:w="108" w:type="dxa"/>
            <w:bottom w:w="0" w:type="dxa"/>
            <w:right w:w="108" w:type="dxa"/>
          </w:tblCellMar>
        </w:tblPrEx>
        <w:trPr>
          <w:trHeight w:val="596" w:hRule="atLeast"/>
        </w:trPr>
        <w:tc>
          <w:tcPr>
            <w:tcW w:w="8860"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6D4EC79C">
            <w:pPr>
              <w:widowControl/>
              <w:jc w:val="center"/>
              <w:rPr>
                <w:rFonts w:ascii="黑体" w:hAnsi="黑体" w:eastAsia="黑体" w:cs="宋体"/>
                <w:color w:val="000000"/>
                <w:kern w:val="0"/>
                <w:szCs w:val="21"/>
                <w:highlight w:val="none"/>
              </w:rPr>
            </w:pPr>
            <w:r>
              <w:rPr>
                <w:rFonts w:hint="eastAsia" w:ascii="黑体" w:hAnsi="黑体" w:eastAsia="黑体" w:cs="宋体"/>
                <w:color w:val="000000"/>
                <w:kern w:val="0"/>
                <w:szCs w:val="21"/>
                <w:highlight w:val="none"/>
              </w:rPr>
              <w:t>第二十条第（五）项</w:t>
            </w:r>
          </w:p>
        </w:tc>
      </w:tr>
      <w:tr w14:paraId="3EA3A432">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659F74B4">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信息内容</w:t>
            </w:r>
          </w:p>
        </w:tc>
        <w:tc>
          <w:tcPr>
            <w:tcW w:w="6645" w:type="dxa"/>
            <w:gridSpan w:val="3"/>
            <w:tcBorders>
              <w:top w:val="single" w:color="auto" w:sz="8" w:space="0"/>
              <w:left w:val="nil"/>
              <w:bottom w:val="single" w:color="auto" w:sz="8" w:space="0"/>
              <w:right w:val="single" w:color="000000" w:sz="8" w:space="0"/>
            </w:tcBorders>
            <w:noWrap w:val="0"/>
            <w:vAlign w:val="center"/>
          </w:tcPr>
          <w:p w14:paraId="7D1C198E">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本年处理决定数量</w:t>
            </w:r>
          </w:p>
        </w:tc>
      </w:tr>
      <w:tr w14:paraId="184B2F4B">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34E8F0E8">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行政许可</w:t>
            </w:r>
          </w:p>
        </w:tc>
        <w:tc>
          <w:tcPr>
            <w:tcW w:w="6645" w:type="dxa"/>
            <w:gridSpan w:val="3"/>
            <w:tcBorders>
              <w:top w:val="single" w:color="auto" w:sz="8" w:space="0"/>
              <w:left w:val="nil"/>
              <w:bottom w:val="single" w:color="auto" w:sz="8" w:space="0"/>
              <w:right w:val="single" w:color="000000" w:sz="8" w:space="0"/>
            </w:tcBorders>
            <w:noWrap w:val="0"/>
            <w:vAlign w:val="center"/>
          </w:tcPr>
          <w:p w14:paraId="636A718D">
            <w:pPr>
              <w:widowControl/>
              <w:jc w:val="center"/>
              <w:rPr>
                <w:rFonts w:hint="eastAsia" w:ascii="仿宋_GB2312" w:hAnsi="Calibri" w:eastAsia="仿宋_GB2312" w:cs="Calibri"/>
                <w:color w:val="auto"/>
                <w:kern w:val="0"/>
                <w:szCs w:val="21"/>
                <w:highlight w:val="none"/>
                <w:lang w:val="en-US" w:eastAsia="zh-CN"/>
              </w:rPr>
            </w:pPr>
            <w:r>
              <w:rPr>
                <w:rFonts w:hint="eastAsia" w:ascii="仿宋_GB2312" w:hAnsi="Calibri" w:eastAsia="仿宋_GB2312" w:cs="Calibri"/>
                <w:color w:val="auto"/>
                <w:kern w:val="0"/>
                <w:szCs w:val="21"/>
                <w:highlight w:val="none"/>
                <w:lang w:val="en-US" w:eastAsia="zh-CN"/>
              </w:rPr>
              <w:t>0</w:t>
            </w:r>
          </w:p>
        </w:tc>
      </w:tr>
      <w:tr w14:paraId="2B266996">
        <w:tblPrEx>
          <w:tblCellMar>
            <w:top w:w="0" w:type="dxa"/>
            <w:left w:w="108" w:type="dxa"/>
            <w:bottom w:w="0" w:type="dxa"/>
            <w:right w:w="108" w:type="dxa"/>
          </w:tblCellMar>
        </w:tblPrEx>
        <w:trPr>
          <w:trHeight w:val="596" w:hRule="atLeast"/>
        </w:trPr>
        <w:tc>
          <w:tcPr>
            <w:tcW w:w="8860"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130FF858">
            <w:pPr>
              <w:widowControl/>
              <w:jc w:val="center"/>
              <w:rPr>
                <w:rFonts w:ascii="黑体" w:hAnsi="黑体" w:eastAsia="黑体" w:cs="宋体"/>
                <w:color w:val="000000"/>
                <w:kern w:val="0"/>
                <w:szCs w:val="21"/>
                <w:highlight w:val="none"/>
              </w:rPr>
            </w:pPr>
            <w:r>
              <w:rPr>
                <w:rFonts w:hint="eastAsia" w:ascii="黑体" w:hAnsi="黑体" w:eastAsia="黑体" w:cs="宋体"/>
                <w:color w:val="000000"/>
                <w:kern w:val="0"/>
                <w:szCs w:val="21"/>
                <w:highlight w:val="none"/>
              </w:rPr>
              <w:t>第二十条第（六）项</w:t>
            </w:r>
          </w:p>
        </w:tc>
      </w:tr>
      <w:tr w14:paraId="0D97F6A9">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13C7F564">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信息内容</w:t>
            </w:r>
          </w:p>
        </w:tc>
        <w:tc>
          <w:tcPr>
            <w:tcW w:w="6645" w:type="dxa"/>
            <w:gridSpan w:val="3"/>
            <w:tcBorders>
              <w:top w:val="single" w:color="auto" w:sz="8" w:space="0"/>
              <w:left w:val="nil"/>
              <w:bottom w:val="single" w:color="auto" w:sz="8" w:space="0"/>
              <w:right w:val="single" w:color="000000" w:sz="8" w:space="0"/>
            </w:tcBorders>
            <w:noWrap w:val="0"/>
            <w:vAlign w:val="center"/>
          </w:tcPr>
          <w:p w14:paraId="171F4CE2">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本年处理决定数量</w:t>
            </w:r>
          </w:p>
        </w:tc>
      </w:tr>
      <w:tr w14:paraId="0A212221">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702F3F28">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行政处罚</w:t>
            </w:r>
          </w:p>
        </w:tc>
        <w:tc>
          <w:tcPr>
            <w:tcW w:w="6645" w:type="dxa"/>
            <w:gridSpan w:val="3"/>
            <w:tcBorders>
              <w:top w:val="single" w:color="auto" w:sz="8" w:space="0"/>
              <w:left w:val="nil"/>
              <w:bottom w:val="single" w:color="auto" w:sz="8" w:space="0"/>
              <w:right w:val="single" w:color="000000" w:sz="8" w:space="0"/>
            </w:tcBorders>
            <w:noWrap w:val="0"/>
            <w:vAlign w:val="center"/>
          </w:tcPr>
          <w:p w14:paraId="0E36663D">
            <w:pPr>
              <w:widowControl/>
              <w:jc w:val="center"/>
              <w:rPr>
                <w:rFonts w:hint="eastAsia" w:ascii="仿宋_GB2312" w:hAnsi="Calibri" w:eastAsia="仿宋_GB2312" w:cs="Calibri"/>
                <w:color w:val="auto"/>
                <w:kern w:val="0"/>
                <w:szCs w:val="21"/>
                <w:highlight w:val="none"/>
                <w:lang w:eastAsia="zh-CN"/>
              </w:rPr>
            </w:pPr>
            <w:r>
              <w:rPr>
                <w:rFonts w:hint="eastAsia" w:ascii="仿宋_GB2312" w:hAnsi="Calibri" w:eastAsia="仿宋_GB2312" w:cs="Calibri"/>
                <w:color w:val="auto"/>
                <w:kern w:val="0"/>
                <w:szCs w:val="21"/>
                <w:highlight w:val="none"/>
                <w:lang w:val="en-US" w:eastAsia="zh-CN"/>
              </w:rPr>
              <w:t>0</w:t>
            </w:r>
          </w:p>
        </w:tc>
      </w:tr>
      <w:tr w14:paraId="1E9E846E">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233AA753">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行政强制</w:t>
            </w:r>
          </w:p>
        </w:tc>
        <w:tc>
          <w:tcPr>
            <w:tcW w:w="6645" w:type="dxa"/>
            <w:gridSpan w:val="3"/>
            <w:tcBorders>
              <w:top w:val="single" w:color="auto" w:sz="8" w:space="0"/>
              <w:left w:val="nil"/>
              <w:bottom w:val="single" w:color="auto" w:sz="8" w:space="0"/>
              <w:right w:val="single" w:color="000000" w:sz="8" w:space="0"/>
            </w:tcBorders>
            <w:noWrap w:val="0"/>
            <w:vAlign w:val="center"/>
          </w:tcPr>
          <w:p w14:paraId="7FDE326A">
            <w:pPr>
              <w:widowControl/>
              <w:jc w:val="center"/>
              <w:rPr>
                <w:rFonts w:hint="default" w:ascii="仿宋_GB2312" w:hAnsi="Calibri" w:eastAsia="仿宋_GB2312" w:cs="Calibri"/>
                <w:color w:val="auto"/>
                <w:kern w:val="0"/>
                <w:szCs w:val="21"/>
                <w:highlight w:val="none"/>
                <w:lang w:val="en-US" w:eastAsia="zh-CN"/>
              </w:rPr>
            </w:pPr>
            <w:r>
              <w:rPr>
                <w:rFonts w:hint="eastAsia" w:ascii="仿宋_GB2312" w:hAnsi="Calibri" w:eastAsia="仿宋_GB2312" w:cs="Calibri"/>
                <w:color w:val="auto"/>
                <w:kern w:val="0"/>
                <w:szCs w:val="21"/>
                <w:highlight w:val="none"/>
                <w:lang w:val="en-US" w:eastAsia="zh-CN"/>
              </w:rPr>
              <w:t>0</w:t>
            </w:r>
          </w:p>
        </w:tc>
      </w:tr>
      <w:tr w14:paraId="7B8E6F27">
        <w:tblPrEx>
          <w:tblCellMar>
            <w:top w:w="0" w:type="dxa"/>
            <w:left w:w="108" w:type="dxa"/>
            <w:bottom w:w="0" w:type="dxa"/>
            <w:right w:w="108" w:type="dxa"/>
          </w:tblCellMar>
        </w:tblPrEx>
        <w:trPr>
          <w:trHeight w:val="596" w:hRule="atLeast"/>
        </w:trPr>
        <w:tc>
          <w:tcPr>
            <w:tcW w:w="8860"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64C5BE19">
            <w:pPr>
              <w:widowControl/>
              <w:jc w:val="center"/>
              <w:rPr>
                <w:rFonts w:ascii="黑体" w:hAnsi="黑体" w:eastAsia="黑体" w:cs="宋体"/>
                <w:color w:val="000000"/>
                <w:kern w:val="0"/>
                <w:szCs w:val="21"/>
                <w:highlight w:val="none"/>
              </w:rPr>
            </w:pPr>
            <w:r>
              <w:rPr>
                <w:rFonts w:hint="eastAsia" w:ascii="黑体" w:hAnsi="黑体" w:eastAsia="黑体" w:cs="宋体"/>
                <w:color w:val="000000"/>
                <w:kern w:val="0"/>
                <w:szCs w:val="21"/>
                <w:highlight w:val="none"/>
              </w:rPr>
              <w:t>第二十条第（八）项</w:t>
            </w:r>
          </w:p>
        </w:tc>
      </w:tr>
      <w:tr w14:paraId="7D027CE8">
        <w:tblPrEx>
          <w:tblCellMar>
            <w:top w:w="0" w:type="dxa"/>
            <w:left w:w="108" w:type="dxa"/>
            <w:bottom w:w="0" w:type="dxa"/>
            <w:right w:w="108" w:type="dxa"/>
          </w:tblCellMar>
        </w:tblPrEx>
        <w:trPr>
          <w:trHeight w:val="596" w:hRule="atLeast"/>
        </w:trPr>
        <w:tc>
          <w:tcPr>
            <w:tcW w:w="2215" w:type="dxa"/>
            <w:tcBorders>
              <w:top w:val="nil"/>
              <w:left w:val="single" w:color="auto" w:sz="8" w:space="0"/>
              <w:bottom w:val="single" w:color="auto" w:sz="8" w:space="0"/>
              <w:right w:val="single" w:color="auto" w:sz="8" w:space="0"/>
            </w:tcBorders>
            <w:noWrap w:val="0"/>
            <w:vAlign w:val="center"/>
          </w:tcPr>
          <w:p w14:paraId="723A528B">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信息内容</w:t>
            </w:r>
          </w:p>
        </w:tc>
        <w:tc>
          <w:tcPr>
            <w:tcW w:w="6645" w:type="dxa"/>
            <w:gridSpan w:val="3"/>
            <w:tcBorders>
              <w:top w:val="single" w:color="auto" w:sz="8" w:space="0"/>
              <w:left w:val="nil"/>
              <w:bottom w:val="single" w:color="auto" w:sz="8" w:space="0"/>
              <w:right w:val="single" w:color="000000" w:sz="8" w:space="0"/>
            </w:tcBorders>
            <w:noWrap w:val="0"/>
            <w:vAlign w:val="center"/>
          </w:tcPr>
          <w:p w14:paraId="1B916022">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本年收费金额（单位：万元）</w:t>
            </w:r>
          </w:p>
        </w:tc>
      </w:tr>
      <w:tr w14:paraId="144CF99D">
        <w:tblPrEx>
          <w:tblCellMar>
            <w:top w:w="0" w:type="dxa"/>
            <w:left w:w="108" w:type="dxa"/>
            <w:bottom w:w="0" w:type="dxa"/>
            <w:right w:w="108" w:type="dxa"/>
          </w:tblCellMar>
        </w:tblPrEx>
        <w:trPr>
          <w:trHeight w:val="533" w:hRule="atLeast"/>
        </w:trPr>
        <w:tc>
          <w:tcPr>
            <w:tcW w:w="2215" w:type="dxa"/>
            <w:tcBorders>
              <w:top w:val="nil"/>
              <w:left w:val="single" w:color="auto" w:sz="8" w:space="0"/>
              <w:bottom w:val="single" w:color="auto" w:sz="8" w:space="0"/>
              <w:right w:val="single" w:color="auto" w:sz="8" w:space="0"/>
            </w:tcBorders>
            <w:noWrap w:val="0"/>
            <w:vAlign w:val="center"/>
          </w:tcPr>
          <w:p w14:paraId="09A736B2">
            <w:pPr>
              <w:widowControl/>
              <w:jc w:val="center"/>
              <w:rPr>
                <w:rFonts w:ascii="仿宋_GB2312" w:hAnsi="宋体" w:eastAsia="仿宋_GB2312" w:cs="宋体"/>
                <w:color w:val="000000"/>
                <w:kern w:val="0"/>
                <w:szCs w:val="21"/>
                <w:highlight w:val="none"/>
              </w:rPr>
            </w:pPr>
            <w:r>
              <w:rPr>
                <w:rFonts w:hint="eastAsia" w:ascii="仿宋_GB2312" w:hAnsi="宋体" w:eastAsia="仿宋_GB2312" w:cs="宋体"/>
                <w:color w:val="000000"/>
                <w:kern w:val="0"/>
                <w:szCs w:val="21"/>
                <w:highlight w:val="none"/>
              </w:rPr>
              <w:t>行政事业性收费</w:t>
            </w:r>
          </w:p>
        </w:tc>
        <w:tc>
          <w:tcPr>
            <w:tcW w:w="6645" w:type="dxa"/>
            <w:gridSpan w:val="3"/>
            <w:tcBorders>
              <w:top w:val="single" w:color="auto" w:sz="8" w:space="0"/>
              <w:left w:val="nil"/>
              <w:bottom w:val="single" w:color="auto" w:sz="8" w:space="0"/>
              <w:right w:val="single" w:color="000000" w:sz="8" w:space="0"/>
            </w:tcBorders>
            <w:noWrap w:val="0"/>
            <w:vAlign w:val="center"/>
          </w:tcPr>
          <w:p w14:paraId="1412FB1E">
            <w:pPr>
              <w:widowControl/>
              <w:jc w:val="center"/>
              <w:rPr>
                <w:rFonts w:hint="eastAsia" w:ascii="仿宋_GB2312" w:hAnsi="Calibri" w:eastAsia="仿宋_GB2312" w:cs="Calibri"/>
                <w:color w:val="000000"/>
                <w:kern w:val="0"/>
                <w:szCs w:val="21"/>
                <w:highlight w:val="none"/>
                <w:lang w:eastAsia="zh-CN"/>
              </w:rPr>
            </w:pPr>
            <w:r>
              <w:rPr>
                <w:rFonts w:hint="eastAsia" w:ascii="仿宋_GB2312" w:hAnsi="Calibri" w:eastAsia="仿宋_GB2312" w:cs="Calibri"/>
                <w:color w:val="auto"/>
                <w:kern w:val="0"/>
                <w:szCs w:val="21"/>
                <w:highlight w:val="none"/>
                <w:lang w:val="en-US" w:eastAsia="zh-CN"/>
              </w:rPr>
              <w:t>0</w:t>
            </w:r>
          </w:p>
        </w:tc>
      </w:tr>
    </w:tbl>
    <w:p w14:paraId="595BDF31">
      <w:pPr>
        <w:pStyle w:val="5"/>
        <w:numPr>
          <w:ilvl w:val="0"/>
          <w:numId w:val="0"/>
        </w:numPr>
        <w:shd w:val="clear" w:color="auto" w:fill="FFFFFF"/>
        <w:spacing w:beforeAutospacing="0" w:afterAutospacing="0" w:line="560" w:lineRule="exact"/>
        <w:ind w:firstLine="640" w:firstLineChars="200"/>
        <w:jc w:val="both"/>
        <w:rPr>
          <w:rFonts w:hint="eastAsia" w:ascii="黑体" w:hAnsi="黑体" w:eastAsia="黑体" w:cs="宋体"/>
          <w:color w:val="000000"/>
          <w:sz w:val="32"/>
          <w:szCs w:val="32"/>
          <w:highlight w:val="none"/>
        </w:rPr>
      </w:pPr>
      <w:r>
        <w:rPr>
          <w:rFonts w:hint="eastAsia" w:ascii="黑体" w:hAnsi="黑体" w:eastAsia="黑体" w:cs="宋体"/>
          <w:color w:val="000000"/>
          <w:sz w:val="32"/>
          <w:szCs w:val="32"/>
          <w:highlight w:val="none"/>
        </w:rPr>
        <w:t>三、收到和处理政府信息公开申请情况</w:t>
      </w:r>
    </w:p>
    <w:tbl>
      <w:tblPr>
        <w:tblStyle w:val="6"/>
        <w:tblW w:w="95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15"/>
        <w:gridCol w:w="1714"/>
        <w:gridCol w:w="3216"/>
        <w:gridCol w:w="505"/>
        <w:gridCol w:w="5"/>
        <w:gridCol w:w="534"/>
        <w:gridCol w:w="5"/>
        <w:gridCol w:w="534"/>
        <w:gridCol w:w="720"/>
        <w:gridCol w:w="675"/>
        <w:gridCol w:w="525"/>
        <w:gridCol w:w="6"/>
        <w:gridCol w:w="705"/>
      </w:tblGrid>
      <w:tr w14:paraId="1B8C56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4" w:hRule="atLeast"/>
          <w:jc w:val="center"/>
        </w:trPr>
        <w:tc>
          <w:tcPr>
            <w:tcW w:w="5345" w:type="dxa"/>
            <w:gridSpan w:val="3"/>
            <w:vMerge w:val="restart"/>
            <w:noWrap w:val="0"/>
            <w:tcMar>
              <w:left w:w="108" w:type="dxa"/>
              <w:right w:w="108" w:type="dxa"/>
            </w:tcMar>
            <w:vAlign w:val="center"/>
          </w:tcPr>
          <w:p w14:paraId="25F224A3">
            <w:pPr>
              <w:widowControl/>
              <w:jc w:val="center"/>
              <w:rPr>
                <w:rFonts w:ascii="楷体_GB2312" w:hAnsi="黑体" w:eastAsia="楷体_GB2312"/>
                <w:kern w:val="0"/>
                <w:szCs w:val="21"/>
                <w:highlight w:val="none"/>
              </w:rPr>
            </w:pPr>
            <w:r>
              <w:rPr>
                <w:rFonts w:hint="eastAsia" w:ascii="楷体_GB2312" w:hAnsi="黑体" w:eastAsia="楷体_GB2312"/>
                <w:kern w:val="0"/>
                <w:szCs w:val="21"/>
                <w:highlight w:val="none"/>
              </w:rPr>
              <w:t>（本列数据的勾稽关系为：第一项加第二项之和，</w:t>
            </w:r>
          </w:p>
          <w:p w14:paraId="5DD9D097">
            <w:pPr>
              <w:widowControl/>
              <w:jc w:val="center"/>
              <w:rPr>
                <w:rFonts w:ascii="仿宋_GB2312" w:hAnsi="Times New Roman" w:eastAsia="仿宋_GB2312"/>
                <w:szCs w:val="21"/>
                <w:highlight w:val="none"/>
              </w:rPr>
            </w:pPr>
            <w:r>
              <w:rPr>
                <w:rFonts w:hint="eastAsia" w:ascii="楷体_GB2312" w:hAnsi="黑体" w:eastAsia="楷体_GB2312"/>
                <w:kern w:val="0"/>
                <w:szCs w:val="21"/>
                <w:highlight w:val="none"/>
              </w:rPr>
              <w:t>等于第三项加第四项之和）</w:t>
            </w:r>
          </w:p>
        </w:tc>
        <w:tc>
          <w:tcPr>
            <w:tcW w:w="4214" w:type="dxa"/>
            <w:gridSpan w:val="10"/>
            <w:noWrap w:val="0"/>
            <w:tcMar>
              <w:left w:w="108" w:type="dxa"/>
              <w:right w:w="108" w:type="dxa"/>
            </w:tcMar>
            <w:vAlign w:val="center"/>
          </w:tcPr>
          <w:p w14:paraId="41F35507">
            <w:pPr>
              <w:widowControl/>
              <w:spacing w:line="320" w:lineRule="exact"/>
              <w:jc w:val="center"/>
              <w:rPr>
                <w:rFonts w:ascii="黑体" w:hAnsi="黑体" w:eastAsia="黑体"/>
                <w:szCs w:val="21"/>
                <w:highlight w:val="none"/>
              </w:rPr>
            </w:pPr>
            <w:r>
              <w:rPr>
                <w:rFonts w:hint="eastAsia" w:ascii="黑体" w:hAnsi="黑体" w:eastAsia="黑体"/>
                <w:kern w:val="0"/>
                <w:szCs w:val="21"/>
                <w:highlight w:val="none"/>
              </w:rPr>
              <w:t>申请人情况</w:t>
            </w:r>
          </w:p>
        </w:tc>
      </w:tr>
      <w:tr w14:paraId="13335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7" w:hRule="atLeast"/>
          <w:jc w:val="center"/>
        </w:trPr>
        <w:tc>
          <w:tcPr>
            <w:tcW w:w="5345" w:type="dxa"/>
            <w:gridSpan w:val="3"/>
            <w:vMerge w:val="continue"/>
            <w:noWrap w:val="0"/>
            <w:tcMar>
              <w:left w:w="108" w:type="dxa"/>
              <w:right w:w="108" w:type="dxa"/>
            </w:tcMar>
            <w:vAlign w:val="center"/>
          </w:tcPr>
          <w:p w14:paraId="0A7CA406">
            <w:pPr>
              <w:jc w:val="center"/>
              <w:rPr>
                <w:rFonts w:ascii="仿宋_GB2312" w:hAnsi="Times New Roman" w:eastAsia="仿宋_GB2312"/>
                <w:szCs w:val="21"/>
                <w:highlight w:val="none"/>
              </w:rPr>
            </w:pPr>
          </w:p>
        </w:tc>
        <w:tc>
          <w:tcPr>
            <w:tcW w:w="505" w:type="dxa"/>
            <w:vMerge w:val="restart"/>
            <w:noWrap w:val="0"/>
            <w:tcMar>
              <w:left w:w="108" w:type="dxa"/>
              <w:right w:w="108" w:type="dxa"/>
            </w:tcMar>
            <w:vAlign w:val="center"/>
          </w:tcPr>
          <w:p w14:paraId="5E8DEB4F">
            <w:pPr>
              <w:widowControl/>
              <w:jc w:val="center"/>
              <w:rPr>
                <w:rFonts w:ascii="黑体" w:hAnsi="黑体" w:eastAsia="黑体"/>
                <w:szCs w:val="21"/>
                <w:highlight w:val="none"/>
              </w:rPr>
            </w:pPr>
            <w:r>
              <w:rPr>
                <w:rFonts w:hint="eastAsia" w:ascii="黑体" w:hAnsi="黑体" w:eastAsia="黑体"/>
                <w:kern w:val="0"/>
                <w:szCs w:val="21"/>
                <w:highlight w:val="none"/>
              </w:rPr>
              <w:t>自然人</w:t>
            </w:r>
          </w:p>
        </w:tc>
        <w:tc>
          <w:tcPr>
            <w:tcW w:w="3004" w:type="dxa"/>
            <w:gridSpan w:val="8"/>
            <w:noWrap w:val="0"/>
            <w:tcMar>
              <w:left w:w="108" w:type="dxa"/>
              <w:right w:w="108" w:type="dxa"/>
            </w:tcMar>
            <w:vAlign w:val="center"/>
          </w:tcPr>
          <w:p w14:paraId="6F9C4374">
            <w:pPr>
              <w:widowControl/>
              <w:spacing w:line="320" w:lineRule="exact"/>
              <w:jc w:val="center"/>
              <w:rPr>
                <w:rFonts w:ascii="黑体" w:hAnsi="黑体" w:eastAsia="黑体"/>
                <w:szCs w:val="21"/>
                <w:highlight w:val="none"/>
              </w:rPr>
            </w:pPr>
            <w:r>
              <w:rPr>
                <w:rFonts w:hint="eastAsia" w:ascii="黑体" w:hAnsi="黑体" w:eastAsia="黑体"/>
                <w:kern w:val="0"/>
                <w:szCs w:val="21"/>
                <w:highlight w:val="none"/>
              </w:rPr>
              <w:t>法人或其他组织</w:t>
            </w:r>
          </w:p>
        </w:tc>
        <w:tc>
          <w:tcPr>
            <w:tcW w:w="705" w:type="dxa"/>
            <w:vMerge w:val="restart"/>
            <w:noWrap w:val="0"/>
            <w:tcMar>
              <w:left w:w="108" w:type="dxa"/>
              <w:right w:w="108" w:type="dxa"/>
            </w:tcMar>
            <w:vAlign w:val="center"/>
          </w:tcPr>
          <w:p w14:paraId="1A628B68">
            <w:pPr>
              <w:widowControl/>
              <w:jc w:val="center"/>
              <w:rPr>
                <w:rFonts w:ascii="黑体" w:hAnsi="黑体" w:eastAsia="黑体"/>
                <w:szCs w:val="21"/>
                <w:highlight w:val="none"/>
              </w:rPr>
            </w:pPr>
            <w:r>
              <w:rPr>
                <w:rFonts w:hint="eastAsia" w:ascii="黑体" w:hAnsi="黑体" w:eastAsia="黑体"/>
                <w:kern w:val="0"/>
                <w:szCs w:val="21"/>
                <w:highlight w:val="none"/>
              </w:rPr>
              <w:t>总计</w:t>
            </w:r>
          </w:p>
        </w:tc>
      </w:tr>
      <w:tr w14:paraId="71C84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5345" w:type="dxa"/>
            <w:gridSpan w:val="3"/>
            <w:vMerge w:val="continue"/>
            <w:noWrap w:val="0"/>
            <w:tcMar>
              <w:left w:w="108" w:type="dxa"/>
              <w:right w:w="108" w:type="dxa"/>
            </w:tcMar>
            <w:vAlign w:val="center"/>
          </w:tcPr>
          <w:p w14:paraId="72CD5014">
            <w:pPr>
              <w:jc w:val="center"/>
              <w:rPr>
                <w:rFonts w:ascii="仿宋_GB2312" w:hAnsi="Times New Roman" w:eastAsia="仿宋_GB2312"/>
                <w:szCs w:val="21"/>
                <w:highlight w:val="none"/>
              </w:rPr>
            </w:pPr>
          </w:p>
        </w:tc>
        <w:tc>
          <w:tcPr>
            <w:tcW w:w="505" w:type="dxa"/>
            <w:vMerge w:val="continue"/>
            <w:noWrap w:val="0"/>
            <w:tcMar>
              <w:left w:w="108" w:type="dxa"/>
              <w:right w:w="108" w:type="dxa"/>
            </w:tcMar>
            <w:vAlign w:val="center"/>
          </w:tcPr>
          <w:p w14:paraId="27EC53E7">
            <w:pPr>
              <w:jc w:val="center"/>
              <w:rPr>
                <w:rFonts w:ascii="黑体" w:hAnsi="黑体" w:eastAsia="黑体"/>
                <w:szCs w:val="21"/>
                <w:highlight w:val="none"/>
              </w:rPr>
            </w:pPr>
          </w:p>
        </w:tc>
        <w:tc>
          <w:tcPr>
            <w:tcW w:w="539" w:type="dxa"/>
            <w:gridSpan w:val="2"/>
            <w:noWrap w:val="0"/>
            <w:tcMar>
              <w:left w:w="108" w:type="dxa"/>
              <w:right w:w="108" w:type="dxa"/>
            </w:tcMar>
            <w:vAlign w:val="center"/>
          </w:tcPr>
          <w:p w14:paraId="4186E088">
            <w:pPr>
              <w:widowControl/>
              <w:spacing w:line="320" w:lineRule="exact"/>
              <w:ind w:left="-111" w:leftChars="-51" w:right="-112" w:rightChars="-51" w:hanging="1"/>
              <w:jc w:val="center"/>
              <w:rPr>
                <w:rFonts w:ascii="黑体" w:hAnsi="黑体" w:eastAsia="黑体"/>
                <w:szCs w:val="21"/>
                <w:highlight w:val="none"/>
              </w:rPr>
            </w:pPr>
            <w:r>
              <w:rPr>
                <w:rFonts w:hint="eastAsia" w:ascii="黑体" w:hAnsi="黑体" w:eastAsia="黑体"/>
                <w:kern w:val="0"/>
                <w:szCs w:val="21"/>
                <w:highlight w:val="none"/>
              </w:rPr>
              <w:t>商业企业</w:t>
            </w:r>
          </w:p>
        </w:tc>
        <w:tc>
          <w:tcPr>
            <w:tcW w:w="539" w:type="dxa"/>
            <w:gridSpan w:val="2"/>
            <w:noWrap w:val="0"/>
            <w:tcMar>
              <w:left w:w="108" w:type="dxa"/>
              <w:right w:w="108" w:type="dxa"/>
            </w:tcMar>
            <w:vAlign w:val="center"/>
          </w:tcPr>
          <w:p w14:paraId="78153175">
            <w:pPr>
              <w:widowControl/>
              <w:spacing w:line="320" w:lineRule="exact"/>
              <w:ind w:left="-112" w:leftChars="-51" w:right="-112" w:rightChars="-51"/>
              <w:jc w:val="center"/>
              <w:rPr>
                <w:rFonts w:ascii="黑体" w:hAnsi="黑体" w:eastAsia="黑体"/>
                <w:szCs w:val="21"/>
                <w:highlight w:val="none"/>
              </w:rPr>
            </w:pPr>
            <w:r>
              <w:rPr>
                <w:rFonts w:hint="eastAsia" w:ascii="黑体" w:hAnsi="黑体" w:eastAsia="黑体"/>
                <w:kern w:val="0"/>
                <w:szCs w:val="21"/>
                <w:highlight w:val="none"/>
              </w:rPr>
              <w:t>科研机构</w:t>
            </w:r>
          </w:p>
        </w:tc>
        <w:tc>
          <w:tcPr>
            <w:tcW w:w="720" w:type="dxa"/>
            <w:noWrap w:val="0"/>
            <w:tcMar>
              <w:left w:w="108" w:type="dxa"/>
              <w:right w:w="108" w:type="dxa"/>
            </w:tcMar>
            <w:vAlign w:val="center"/>
          </w:tcPr>
          <w:p w14:paraId="2A4139DC">
            <w:pPr>
              <w:widowControl/>
              <w:spacing w:line="320" w:lineRule="exact"/>
              <w:ind w:left="-112" w:leftChars="-51" w:right="-112" w:rightChars="-51"/>
              <w:jc w:val="center"/>
              <w:rPr>
                <w:rFonts w:ascii="黑体" w:hAnsi="黑体" w:eastAsia="黑体"/>
                <w:szCs w:val="21"/>
                <w:highlight w:val="none"/>
              </w:rPr>
            </w:pPr>
            <w:r>
              <w:rPr>
                <w:rFonts w:hint="eastAsia" w:ascii="黑体" w:hAnsi="黑体" w:eastAsia="黑体"/>
                <w:kern w:val="0"/>
                <w:szCs w:val="21"/>
                <w:highlight w:val="none"/>
              </w:rPr>
              <w:t>社会公益组织</w:t>
            </w:r>
          </w:p>
        </w:tc>
        <w:tc>
          <w:tcPr>
            <w:tcW w:w="675" w:type="dxa"/>
            <w:noWrap w:val="0"/>
            <w:tcMar>
              <w:left w:w="108" w:type="dxa"/>
              <w:right w:w="108" w:type="dxa"/>
            </w:tcMar>
            <w:vAlign w:val="center"/>
          </w:tcPr>
          <w:p w14:paraId="1A4137A4">
            <w:pPr>
              <w:widowControl/>
              <w:spacing w:line="320" w:lineRule="exact"/>
              <w:ind w:left="-111" w:leftChars="-51" w:right="-112" w:rightChars="-51" w:hanging="1"/>
              <w:jc w:val="center"/>
              <w:rPr>
                <w:rFonts w:ascii="黑体" w:hAnsi="黑体" w:eastAsia="黑体"/>
                <w:szCs w:val="21"/>
                <w:highlight w:val="none"/>
              </w:rPr>
            </w:pPr>
            <w:r>
              <w:rPr>
                <w:rFonts w:hint="eastAsia" w:ascii="黑体" w:hAnsi="黑体" w:eastAsia="黑体"/>
                <w:kern w:val="0"/>
                <w:szCs w:val="21"/>
                <w:highlight w:val="none"/>
              </w:rPr>
              <w:t>法律服务机构</w:t>
            </w:r>
          </w:p>
        </w:tc>
        <w:tc>
          <w:tcPr>
            <w:tcW w:w="531" w:type="dxa"/>
            <w:gridSpan w:val="2"/>
            <w:noWrap w:val="0"/>
            <w:tcMar>
              <w:left w:w="108" w:type="dxa"/>
              <w:right w:w="108" w:type="dxa"/>
            </w:tcMar>
            <w:vAlign w:val="center"/>
          </w:tcPr>
          <w:p w14:paraId="14841FA7">
            <w:pPr>
              <w:widowControl/>
              <w:spacing w:line="360" w:lineRule="exact"/>
              <w:ind w:left="-66" w:leftChars="-30" w:right="-141" w:rightChars="-64"/>
              <w:jc w:val="center"/>
              <w:rPr>
                <w:rFonts w:ascii="黑体" w:hAnsi="黑体" w:eastAsia="黑体"/>
                <w:szCs w:val="21"/>
                <w:highlight w:val="none"/>
              </w:rPr>
            </w:pPr>
            <w:r>
              <w:rPr>
                <w:rFonts w:hint="eastAsia" w:ascii="黑体" w:hAnsi="黑体" w:eastAsia="黑体"/>
                <w:kern w:val="0"/>
                <w:szCs w:val="21"/>
                <w:highlight w:val="none"/>
              </w:rPr>
              <w:t>其他</w:t>
            </w:r>
          </w:p>
        </w:tc>
        <w:tc>
          <w:tcPr>
            <w:tcW w:w="705" w:type="dxa"/>
            <w:vMerge w:val="continue"/>
            <w:noWrap w:val="0"/>
            <w:tcMar>
              <w:left w:w="108" w:type="dxa"/>
              <w:right w:w="108" w:type="dxa"/>
            </w:tcMar>
            <w:vAlign w:val="center"/>
          </w:tcPr>
          <w:p w14:paraId="277095CB">
            <w:pPr>
              <w:jc w:val="center"/>
              <w:rPr>
                <w:rFonts w:ascii="仿宋_GB2312" w:hAnsi="Times New Roman" w:eastAsia="仿宋_GB2312"/>
                <w:szCs w:val="21"/>
                <w:highlight w:val="none"/>
              </w:rPr>
            </w:pPr>
          </w:p>
        </w:tc>
      </w:tr>
      <w:tr w14:paraId="329C45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5345" w:type="dxa"/>
            <w:gridSpan w:val="3"/>
            <w:noWrap w:val="0"/>
            <w:tcMar>
              <w:left w:w="108" w:type="dxa"/>
              <w:right w:w="108" w:type="dxa"/>
            </w:tcMar>
            <w:vAlign w:val="center"/>
          </w:tcPr>
          <w:p w14:paraId="5C27AA1B">
            <w:pPr>
              <w:widowControl/>
              <w:jc w:val="both"/>
              <w:rPr>
                <w:rFonts w:ascii="黑体" w:hAnsi="黑体" w:eastAsia="黑体"/>
                <w:szCs w:val="21"/>
                <w:highlight w:val="none"/>
              </w:rPr>
            </w:pPr>
            <w:r>
              <w:rPr>
                <w:rFonts w:hint="eastAsia" w:ascii="黑体" w:hAnsi="黑体" w:eastAsia="黑体"/>
                <w:kern w:val="0"/>
                <w:szCs w:val="21"/>
                <w:highlight w:val="none"/>
              </w:rPr>
              <w:t>一、</w:t>
            </w:r>
            <w:bookmarkStart w:id="0" w:name="_Hlk66973412"/>
            <w:r>
              <w:rPr>
                <w:rFonts w:hint="eastAsia" w:ascii="黑体" w:hAnsi="黑体" w:eastAsia="黑体"/>
                <w:kern w:val="0"/>
                <w:szCs w:val="21"/>
                <w:highlight w:val="none"/>
              </w:rPr>
              <w:t>本年新收政府信息公开申请数量</w:t>
            </w:r>
            <w:bookmarkEnd w:id="0"/>
          </w:p>
        </w:tc>
        <w:tc>
          <w:tcPr>
            <w:tcW w:w="505" w:type="dxa"/>
            <w:noWrap w:val="0"/>
            <w:tcMar>
              <w:left w:w="108" w:type="dxa"/>
              <w:right w:w="108" w:type="dxa"/>
            </w:tcMar>
            <w:vAlign w:val="center"/>
          </w:tcPr>
          <w:p w14:paraId="70A305A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0062198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3396BAD">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1F370AA7">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4027BC0B">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26AA2B80">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3FEF56C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1B0BA3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5345" w:type="dxa"/>
            <w:gridSpan w:val="3"/>
            <w:noWrap w:val="0"/>
            <w:tcMar>
              <w:left w:w="108" w:type="dxa"/>
              <w:right w:w="108" w:type="dxa"/>
            </w:tcMar>
            <w:vAlign w:val="center"/>
          </w:tcPr>
          <w:p w14:paraId="64662FB0">
            <w:pPr>
              <w:widowControl/>
              <w:jc w:val="both"/>
              <w:rPr>
                <w:rFonts w:ascii="黑体" w:hAnsi="黑体" w:eastAsia="黑体"/>
                <w:szCs w:val="21"/>
                <w:highlight w:val="none"/>
              </w:rPr>
            </w:pPr>
            <w:r>
              <w:rPr>
                <w:rFonts w:hint="eastAsia" w:ascii="黑体" w:hAnsi="黑体" w:eastAsia="黑体"/>
                <w:kern w:val="0"/>
                <w:szCs w:val="21"/>
                <w:highlight w:val="none"/>
              </w:rPr>
              <w:t>二、上年结转政府信息公开申请数量</w:t>
            </w:r>
          </w:p>
        </w:tc>
        <w:tc>
          <w:tcPr>
            <w:tcW w:w="505" w:type="dxa"/>
            <w:noWrap w:val="0"/>
            <w:tcMar>
              <w:left w:w="108" w:type="dxa"/>
              <w:right w:w="108" w:type="dxa"/>
            </w:tcMar>
            <w:vAlign w:val="center"/>
          </w:tcPr>
          <w:p w14:paraId="1C999AB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C0336A1">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2E0816E">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091A38E2">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10AE6B73">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320BFCC7">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559D22A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3ABB1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415" w:type="dxa"/>
            <w:vMerge w:val="restart"/>
            <w:noWrap w:val="0"/>
            <w:tcMar>
              <w:left w:w="108" w:type="dxa"/>
              <w:right w:w="108" w:type="dxa"/>
            </w:tcMar>
            <w:vAlign w:val="center"/>
          </w:tcPr>
          <w:p w14:paraId="6E5FB33E">
            <w:pPr>
              <w:widowControl/>
              <w:spacing w:after="180"/>
              <w:jc w:val="both"/>
              <w:rPr>
                <w:rFonts w:ascii="黑体" w:hAnsi="黑体" w:eastAsia="黑体"/>
                <w:szCs w:val="21"/>
                <w:highlight w:val="none"/>
              </w:rPr>
            </w:pPr>
            <w:r>
              <w:rPr>
                <w:rFonts w:hint="eastAsia" w:ascii="黑体" w:hAnsi="黑体" w:eastAsia="黑体"/>
                <w:kern w:val="0"/>
                <w:szCs w:val="21"/>
                <w:highlight w:val="none"/>
              </w:rPr>
              <w:t>三、本年度办理结果</w:t>
            </w:r>
          </w:p>
        </w:tc>
        <w:tc>
          <w:tcPr>
            <w:tcW w:w="4930" w:type="dxa"/>
            <w:gridSpan w:val="2"/>
            <w:noWrap w:val="0"/>
            <w:tcMar>
              <w:left w:w="108" w:type="dxa"/>
              <w:right w:w="108" w:type="dxa"/>
            </w:tcMar>
            <w:vAlign w:val="center"/>
          </w:tcPr>
          <w:p w14:paraId="6F2F1C11">
            <w:pPr>
              <w:widowControl/>
              <w:jc w:val="both"/>
              <w:rPr>
                <w:rFonts w:ascii="黑体" w:hAnsi="黑体" w:eastAsia="黑体"/>
                <w:szCs w:val="21"/>
                <w:highlight w:val="none"/>
              </w:rPr>
            </w:pPr>
            <w:r>
              <w:rPr>
                <w:rFonts w:hint="eastAsia" w:ascii="黑体" w:hAnsi="黑体" w:eastAsia="黑体"/>
                <w:kern w:val="0"/>
                <w:szCs w:val="21"/>
                <w:highlight w:val="none"/>
              </w:rPr>
              <w:t>（一）予以公开</w:t>
            </w:r>
          </w:p>
        </w:tc>
        <w:tc>
          <w:tcPr>
            <w:tcW w:w="510" w:type="dxa"/>
            <w:gridSpan w:val="2"/>
            <w:noWrap w:val="0"/>
            <w:tcMar>
              <w:left w:w="108" w:type="dxa"/>
              <w:right w:w="108" w:type="dxa"/>
            </w:tcMar>
            <w:vAlign w:val="center"/>
          </w:tcPr>
          <w:p w14:paraId="026AEF0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04983A4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4" w:type="dxa"/>
            <w:noWrap w:val="0"/>
            <w:tcMar>
              <w:left w:w="108" w:type="dxa"/>
              <w:right w:w="108" w:type="dxa"/>
            </w:tcMar>
            <w:vAlign w:val="center"/>
          </w:tcPr>
          <w:p w14:paraId="63B6275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639C41C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10CFF9A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25" w:type="dxa"/>
            <w:noWrap w:val="0"/>
            <w:tcMar>
              <w:left w:w="108" w:type="dxa"/>
              <w:right w:w="108" w:type="dxa"/>
            </w:tcMar>
            <w:vAlign w:val="center"/>
          </w:tcPr>
          <w:p w14:paraId="01CF002C">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11" w:type="dxa"/>
            <w:gridSpan w:val="2"/>
            <w:noWrap w:val="0"/>
            <w:tcMar>
              <w:left w:w="108" w:type="dxa"/>
              <w:right w:w="108" w:type="dxa"/>
            </w:tcMar>
            <w:vAlign w:val="center"/>
          </w:tcPr>
          <w:p w14:paraId="0BDABAC0">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05AB6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91" w:hRule="atLeast"/>
          <w:jc w:val="center"/>
        </w:trPr>
        <w:tc>
          <w:tcPr>
            <w:tcW w:w="415" w:type="dxa"/>
            <w:vMerge w:val="continue"/>
            <w:noWrap w:val="0"/>
            <w:tcMar>
              <w:left w:w="108" w:type="dxa"/>
              <w:right w:w="108" w:type="dxa"/>
            </w:tcMar>
            <w:vAlign w:val="center"/>
          </w:tcPr>
          <w:p w14:paraId="1A324CFC">
            <w:pPr>
              <w:jc w:val="both"/>
              <w:rPr>
                <w:rFonts w:ascii="黑体" w:hAnsi="黑体" w:eastAsia="黑体"/>
                <w:szCs w:val="21"/>
                <w:highlight w:val="none"/>
              </w:rPr>
            </w:pPr>
          </w:p>
        </w:tc>
        <w:tc>
          <w:tcPr>
            <w:tcW w:w="4930" w:type="dxa"/>
            <w:gridSpan w:val="2"/>
            <w:noWrap w:val="0"/>
            <w:tcMar>
              <w:left w:w="108" w:type="dxa"/>
              <w:right w:w="108" w:type="dxa"/>
            </w:tcMar>
            <w:vAlign w:val="center"/>
          </w:tcPr>
          <w:p w14:paraId="63C6BCDD">
            <w:pPr>
              <w:widowControl/>
              <w:jc w:val="both"/>
              <w:rPr>
                <w:rFonts w:ascii="黑体" w:hAnsi="黑体" w:eastAsia="黑体"/>
                <w:szCs w:val="21"/>
                <w:highlight w:val="none"/>
              </w:rPr>
            </w:pPr>
            <w:r>
              <w:rPr>
                <w:rFonts w:hint="eastAsia" w:ascii="黑体" w:hAnsi="黑体" w:eastAsia="黑体"/>
                <w:kern w:val="0"/>
                <w:szCs w:val="21"/>
                <w:highlight w:val="none"/>
              </w:rPr>
              <w:t>（二）部分公开（</w:t>
            </w:r>
            <w:bookmarkStart w:id="1" w:name="_Hlk66973981"/>
            <w:r>
              <w:rPr>
                <w:rFonts w:hint="eastAsia" w:ascii="黑体" w:hAnsi="黑体" w:eastAsia="黑体"/>
                <w:kern w:val="0"/>
                <w:szCs w:val="21"/>
                <w:highlight w:val="none"/>
              </w:rPr>
              <w:t>区分处理的，只计这一情形，不计其他情形</w:t>
            </w:r>
            <w:bookmarkEnd w:id="1"/>
            <w:r>
              <w:rPr>
                <w:rFonts w:hint="eastAsia" w:ascii="黑体" w:hAnsi="黑体" w:eastAsia="黑体"/>
                <w:kern w:val="0"/>
                <w:szCs w:val="21"/>
                <w:highlight w:val="none"/>
              </w:rPr>
              <w:t>）</w:t>
            </w:r>
          </w:p>
        </w:tc>
        <w:tc>
          <w:tcPr>
            <w:tcW w:w="510" w:type="dxa"/>
            <w:gridSpan w:val="2"/>
            <w:noWrap w:val="0"/>
            <w:tcMar>
              <w:left w:w="108" w:type="dxa"/>
              <w:right w:w="108" w:type="dxa"/>
            </w:tcMar>
            <w:vAlign w:val="center"/>
          </w:tcPr>
          <w:p w14:paraId="1E5B69B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6A5B865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4" w:type="dxa"/>
            <w:noWrap w:val="0"/>
            <w:tcMar>
              <w:left w:w="108" w:type="dxa"/>
              <w:right w:w="108" w:type="dxa"/>
            </w:tcMar>
            <w:vAlign w:val="center"/>
          </w:tcPr>
          <w:p w14:paraId="28A233E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3CF6138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335B0F9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25" w:type="dxa"/>
            <w:noWrap w:val="0"/>
            <w:tcMar>
              <w:left w:w="108" w:type="dxa"/>
              <w:right w:w="108" w:type="dxa"/>
            </w:tcMar>
            <w:vAlign w:val="center"/>
          </w:tcPr>
          <w:p w14:paraId="261C6DD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11" w:type="dxa"/>
            <w:gridSpan w:val="2"/>
            <w:noWrap w:val="0"/>
            <w:tcMar>
              <w:left w:w="108" w:type="dxa"/>
              <w:right w:w="108" w:type="dxa"/>
            </w:tcMar>
            <w:vAlign w:val="center"/>
          </w:tcPr>
          <w:p w14:paraId="2AB08F1A">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70C0CE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4C0EAFF7">
            <w:pPr>
              <w:rPr>
                <w:rFonts w:ascii="黑体" w:hAnsi="黑体" w:eastAsia="黑体"/>
                <w:szCs w:val="21"/>
                <w:highlight w:val="none"/>
              </w:rPr>
            </w:pPr>
          </w:p>
        </w:tc>
        <w:tc>
          <w:tcPr>
            <w:tcW w:w="1714" w:type="dxa"/>
            <w:vMerge w:val="restart"/>
            <w:noWrap w:val="0"/>
            <w:tcMar>
              <w:left w:w="108" w:type="dxa"/>
              <w:right w:w="108" w:type="dxa"/>
            </w:tcMar>
            <w:vAlign w:val="center"/>
          </w:tcPr>
          <w:p w14:paraId="7903BD66">
            <w:pPr>
              <w:widowControl/>
              <w:spacing w:line="360" w:lineRule="auto"/>
              <w:ind w:left="-112" w:leftChars="-51"/>
              <w:rPr>
                <w:rFonts w:ascii="黑体" w:hAnsi="黑体" w:eastAsia="黑体"/>
                <w:szCs w:val="21"/>
                <w:highlight w:val="none"/>
              </w:rPr>
            </w:pPr>
            <w:r>
              <w:rPr>
                <w:rFonts w:hint="eastAsia" w:ascii="黑体" w:hAnsi="黑体" w:eastAsia="黑体"/>
                <w:kern w:val="0"/>
                <w:szCs w:val="21"/>
                <w:highlight w:val="none"/>
              </w:rPr>
              <w:t>（三）不予公开</w:t>
            </w:r>
          </w:p>
        </w:tc>
        <w:tc>
          <w:tcPr>
            <w:tcW w:w="3216" w:type="dxa"/>
            <w:noWrap w:val="0"/>
            <w:tcMar>
              <w:left w:w="108" w:type="dxa"/>
              <w:right w:w="108" w:type="dxa"/>
            </w:tcMar>
            <w:vAlign w:val="center"/>
          </w:tcPr>
          <w:p w14:paraId="2393B28C">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1.属于国家秘密</w:t>
            </w:r>
          </w:p>
        </w:tc>
        <w:tc>
          <w:tcPr>
            <w:tcW w:w="505" w:type="dxa"/>
            <w:noWrap w:val="0"/>
            <w:tcMar>
              <w:left w:w="108" w:type="dxa"/>
              <w:right w:w="108" w:type="dxa"/>
            </w:tcMar>
            <w:vAlign w:val="center"/>
          </w:tcPr>
          <w:p w14:paraId="21D4BA7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60B52FE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436BD4D1">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0709A03C">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7A4D164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6D091D5F">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0FF487F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56C538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115ECA2B">
            <w:pPr>
              <w:rPr>
                <w:rFonts w:ascii="黑体" w:hAnsi="黑体" w:eastAsia="黑体"/>
                <w:szCs w:val="21"/>
                <w:highlight w:val="none"/>
              </w:rPr>
            </w:pPr>
          </w:p>
        </w:tc>
        <w:tc>
          <w:tcPr>
            <w:tcW w:w="1714" w:type="dxa"/>
            <w:vMerge w:val="continue"/>
            <w:noWrap w:val="0"/>
            <w:tcMar>
              <w:left w:w="108" w:type="dxa"/>
              <w:right w:w="108" w:type="dxa"/>
            </w:tcMar>
            <w:vAlign w:val="center"/>
          </w:tcPr>
          <w:p w14:paraId="314B85DE">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672B76B9">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2.</w:t>
            </w:r>
            <w:bookmarkStart w:id="2" w:name="_Hlk66974104"/>
            <w:r>
              <w:rPr>
                <w:rFonts w:hint="eastAsia" w:ascii="仿宋_GB2312" w:hAnsi="黑体" w:eastAsia="仿宋_GB2312"/>
                <w:kern w:val="0"/>
                <w:szCs w:val="21"/>
                <w:highlight w:val="none"/>
              </w:rPr>
              <w:t>其他法律行政法规禁止公开</w:t>
            </w:r>
            <w:bookmarkEnd w:id="2"/>
          </w:p>
        </w:tc>
        <w:tc>
          <w:tcPr>
            <w:tcW w:w="505" w:type="dxa"/>
            <w:noWrap w:val="0"/>
            <w:tcMar>
              <w:left w:w="108" w:type="dxa"/>
              <w:right w:w="108" w:type="dxa"/>
            </w:tcMar>
            <w:vAlign w:val="center"/>
          </w:tcPr>
          <w:p w14:paraId="58F55F20">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74975FD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6A381EAA">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3A27D1AC">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0E02A13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2B762E01">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021CFEF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38E8BB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451A94CF">
            <w:pPr>
              <w:rPr>
                <w:rFonts w:ascii="黑体" w:hAnsi="黑体" w:eastAsia="黑体"/>
                <w:szCs w:val="21"/>
                <w:highlight w:val="none"/>
              </w:rPr>
            </w:pPr>
          </w:p>
        </w:tc>
        <w:tc>
          <w:tcPr>
            <w:tcW w:w="1714" w:type="dxa"/>
            <w:vMerge w:val="continue"/>
            <w:noWrap w:val="0"/>
            <w:tcMar>
              <w:left w:w="108" w:type="dxa"/>
              <w:right w:w="108" w:type="dxa"/>
            </w:tcMar>
            <w:vAlign w:val="center"/>
          </w:tcPr>
          <w:p w14:paraId="47058B09">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77DB93B4">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3.危及“三安全一稳定”</w:t>
            </w:r>
          </w:p>
        </w:tc>
        <w:tc>
          <w:tcPr>
            <w:tcW w:w="505" w:type="dxa"/>
            <w:noWrap w:val="0"/>
            <w:tcMar>
              <w:left w:w="108" w:type="dxa"/>
              <w:right w:w="108" w:type="dxa"/>
            </w:tcMar>
            <w:vAlign w:val="center"/>
          </w:tcPr>
          <w:p w14:paraId="4EE4616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046AD46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7827710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3446CB5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43BE370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3BF0A90D">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1CB4C19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040B48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2CC848BB">
            <w:pPr>
              <w:rPr>
                <w:rFonts w:ascii="黑体" w:hAnsi="黑体" w:eastAsia="黑体"/>
                <w:szCs w:val="21"/>
                <w:highlight w:val="none"/>
              </w:rPr>
            </w:pPr>
          </w:p>
        </w:tc>
        <w:tc>
          <w:tcPr>
            <w:tcW w:w="1714" w:type="dxa"/>
            <w:vMerge w:val="continue"/>
            <w:noWrap w:val="0"/>
            <w:tcMar>
              <w:left w:w="108" w:type="dxa"/>
              <w:right w:w="108" w:type="dxa"/>
            </w:tcMar>
            <w:vAlign w:val="center"/>
          </w:tcPr>
          <w:p w14:paraId="32BC8A42">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390BE4B1">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4.</w:t>
            </w:r>
            <w:bookmarkStart w:id="3" w:name="_Hlk66974290"/>
            <w:r>
              <w:rPr>
                <w:rFonts w:hint="eastAsia" w:ascii="仿宋_GB2312" w:hAnsi="黑体" w:eastAsia="仿宋_GB2312"/>
                <w:kern w:val="0"/>
                <w:szCs w:val="21"/>
                <w:highlight w:val="none"/>
              </w:rPr>
              <w:t>保护第三方合法权益</w:t>
            </w:r>
            <w:bookmarkEnd w:id="3"/>
          </w:p>
        </w:tc>
        <w:tc>
          <w:tcPr>
            <w:tcW w:w="505" w:type="dxa"/>
            <w:noWrap w:val="0"/>
            <w:tcMar>
              <w:left w:w="108" w:type="dxa"/>
              <w:right w:w="108" w:type="dxa"/>
            </w:tcMar>
            <w:vAlign w:val="center"/>
          </w:tcPr>
          <w:p w14:paraId="7927AA6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2558E87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5A0374A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54CF6E9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23A7F81A">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445E6FA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5C91059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51813A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47C2FA5C">
            <w:pPr>
              <w:rPr>
                <w:rFonts w:ascii="黑体" w:hAnsi="黑体" w:eastAsia="黑体"/>
                <w:szCs w:val="21"/>
                <w:highlight w:val="none"/>
              </w:rPr>
            </w:pPr>
          </w:p>
        </w:tc>
        <w:tc>
          <w:tcPr>
            <w:tcW w:w="1714" w:type="dxa"/>
            <w:vMerge w:val="continue"/>
            <w:noWrap w:val="0"/>
            <w:tcMar>
              <w:left w:w="108" w:type="dxa"/>
              <w:right w:w="108" w:type="dxa"/>
            </w:tcMar>
            <w:vAlign w:val="center"/>
          </w:tcPr>
          <w:p w14:paraId="1F647F63">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3D1CC0FE">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5.属于三类内部事务信息</w:t>
            </w:r>
          </w:p>
        </w:tc>
        <w:tc>
          <w:tcPr>
            <w:tcW w:w="505" w:type="dxa"/>
            <w:noWrap w:val="0"/>
            <w:tcMar>
              <w:left w:w="108" w:type="dxa"/>
              <w:right w:w="108" w:type="dxa"/>
            </w:tcMar>
            <w:vAlign w:val="center"/>
          </w:tcPr>
          <w:p w14:paraId="0E924BA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4C099CFC">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0598654A">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194D909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50E8237C">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622E63A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56265E4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63630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5C4D6DB2">
            <w:pPr>
              <w:rPr>
                <w:rFonts w:ascii="黑体" w:hAnsi="黑体" w:eastAsia="黑体"/>
                <w:szCs w:val="21"/>
                <w:highlight w:val="none"/>
              </w:rPr>
            </w:pPr>
          </w:p>
        </w:tc>
        <w:tc>
          <w:tcPr>
            <w:tcW w:w="1714" w:type="dxa"/>
            <w:vMerge w:val="continue"/>
            <w:noWrap w:val="0"/>
            <w:tcMar>
              <w:left w:w="108" w:type="dxa"/>
              <w:right w:w="108" w:type="dxa"/>
            </w:tcMar>
            <w:vAlign w:val="center"/>
          </w:tcPr>
          <w:p w14:paraId="43FC91F1">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4050FA3E">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6.</w:t>
            </w:r>
            <w:bookmarkStart w:id="4" w:name="_Hlk66974555"/>
            <w:r>
              <w:rPr>
                <w:rFonts w:hint="eastAsia" w:ascii="仿宋_GB2312" w:hAnsi="黑体" w:eastAsia="仿宋_GB2312"/>
                <w:kern w:val="0"/>
                <w:szCs w:val="21"/>
                <w:highlight w:val="none"/>
              </w:rPr>
              <w:t>属于四类过程性信息</w:t>
            </w:r>
            <w:bookmarkEnd w:id="4"/>
          </w:p>
        </w:tc>
        <w:tc>
          <w:tcPr>
            <w:tcW w:w="505" w:type="dxa"/>
            <w:noWrap w:val="0"/>
            <w:tcMar>
              <w:left w:w="108" w:type="dxa"/>
              <w:right w:w="108" w:type="dxa"/>
            </w:tcMar>
            <w:vAlign w:val="center"/>
          </w:tcPr>
          <w:p w14:paraId="36B48FA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B6F6FDC">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C939C6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7D6E6CD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627FE520">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2F3DD3C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45DD48CF">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4CF4CE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78E5B928">
            <w:pPr>
              <w:rPr>
                <w:rFonts w:ascii="黑体" w:hAnsi="黑体" w:eastAsia="黑体"/>
                <w:szCs w:val="21"/>
                <w:highlight w:val="none"/>
              </w:rPr>
            </w:pPr>
          </w:p>
        </w:tc>
        <w:tc>
          <w:tcPr>
            <w:tcW w:w="1714" w:type="dxa"/>
            <w:vMerge w:val="continue"/>
            <w:noWrap w:val="0"/>
            <w:tcMar>
              <w:left w:w="108" w:type="dxa"/>
              <w:right w:w="108" w:type="dxa"/>
            </w:tcMar>
            <w:vAlign w:val="center"/>
          </w:tcPr>
          <w:p w14:paraId="7C4F7A1B">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57972D33">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7.属于行政执法案卷</w:t>
            </w:r>
          </w:p>
        </w:tc>
        <w:tc>
          <w:tcPr>
            <w:tcW w:w="505" w:type="dxa"/>
            <w:noWrap w:val="0"/>
            <w:tcMar>
              <w:left w:w="108" w:type="dxa"/>
              <w:right w:w="108" w:type="dxa"/>
            </w:tcMar>
            <w:vAlign w:val="center"/>
          </w:tcPr>
          <w:p w14:paraId="485D32E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61F8890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5B63E6A1">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6360FEFF">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1DF020DD">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04AA988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516C83E0">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45A9B5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35E891D7">
            <w:pPr>
              <w:rPr>
                <w:rFonts w:ascii="黑体" w:hAnsi="黑体" w:eastAsia="黑体"/>
                <w:szCs w:val="21"/>
                <w:highlight w:val="none"/>
              </w:rPr>
            </w:pPr>
          </w:p>
        </w:tc>
        <w:tc>
          <w:tcPr>
            <w:tcW w:w="1714" w:type="dxa"/>
            <w:vMerge w:val="continue"/>
            <w:noWrap w:val="0"/>
            <w:tcMar>
              <w:left w:w="108" w:type="dxa"/>
              <w:right w:w="108" w:type="dxa"/>
            </w:tcMar>
            <w:vAlign w:val="center"/>
          </w:tcPr>
          <w:p w14:paraId="09D550B9">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0AE969F2">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8.</w:t>
            </w:r>
            <w:bookmarkStart w:id="5" w:name="_Hlk66975211"/>
            <w:r>
              <w:rPr>
                <w:rFonts w:hint="eastAsia" w:ascii="仿宋_GB2312" w:hAnsi="黑体" w:eastAsia="仿宋_GB2312"/>
                <w:kern w:val="0"/>
                <w:szCs w:val="21"/>
                <w:highlight w:val="none"/>
              </w:rPr>
              <w:t>属于行政查询事项</w:t>
            </w:r>
            <w:bookmarkEnd w:id="5"/>
          </w:p>
        </w:tc>
        <w:tc>
          <w:tcPr>
            <w:tcW w:w="505" w:type="dxa"/>
            <w:noWrap w:val="0"/>
            <w:tcMar>
              <w:left w:w="108" w:type="dxa"/>
              <w:right w:w="108" w:type="dxa"/>
            </w:tcMar>
            <w:vAlign w:val="center"/>
          </w:tcPr>
          <w:p w14:paraId="4AF8CFE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06C85C9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7159BC51">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49AA6EB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060FC69D">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0B024FE1">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3109F86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79D49E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7BC19F5D">
            <w:pPr>
              <w:rPr>
                <w:rFonts w:ascii="黑体" w:hAnsi="黑体" w:eastAsia="黑体"/>
                <w:szCs w:val="21"/>
                <w:highlight w:val="none"/>
              </w:rPr>
            </w:pPr>
          </w:p>
        </w:tc>
        <w:tc>
          <w:tcPr>
            <w:tcW w:w="1714" w:type="dxa"/>
            <w:vMerge w:val="restart"/>
            <w:noWrap w:val="0"/>
            <w:tcMar>
              <w:left w:w="108" w:type="dxa"/>
              <w:right w:w="108" w:type="dxa"/>
            </w:tcMar>
            <w:vAlign w:val="center"/>
          </w:tcPr>
          <w:p w14:paraId="0276F306">
            <w:pPr>
              <w:widowControl/>
              <w:spacing w:line="300" w:lineRule="exact"/>
              <w:rPr>
                <w:rFonts w:hint="eastAsia" w:ascii="黑体" w:hAnsi="黑体" w:eastAsia="黑体"/>
                <w:kern w:val="0"/>
                <w:szCs w:val="21"/>
                <w:highlight w:val="none"/>
              </w:rPr>
            </w:pPr>
            <w:r>
              <w:rPr>
                <w:rFonts w:hint="eastAsia" w:ascii="黑体" w:hAnsi="黑体" w:eastAsia="黑体"/>
                <w:kern w:val="0"/>
                <w:szCs w:val="21"/>
                <w:highlight w:val="none"/>
              </w:rPr>
              <w:t>（四）无法提供</w:t>
            </w:r>
          </w:p>
        </w:tc>
        <w:tc>
          <w:tcPr>
            <w:tcW w:w="3216" w:type="dxa"/>
            <w:noWrap w:val="0"/>
            <w:tcMar>
              <w:left w:w="108" w:type="dxa"/>
              <w:right w:w="108" w:type="dxa"/>
            </w:tcMar>
            <w:vAlign w:val="center"/>
          </w:tcPr>
          <w:p w14:paraId="477A2A5C">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1.本机关不掌握相关政府信息</w:t>
            </w:r>
          </w:p>
        </w:tc>
        <w:tc>
          <w:tcPr>
            <w:tcW w:w="505" w:type="dxa"/>
            <w:noWrap w:val="0"/>
            <w:tcMar>
              <w:left w:w="108" w:type="dxa"/>
              <w:right w:w="108" w:type="dxa"/>
            </w:tcMar>
            <w:vAlign w:val="center"/>
          </w:tcPr>
          <w:p w14:paraId="06ADDB7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11C446A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68CADC4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1412CF7F">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1B283DD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0ADD9840">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033B293F">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0F7F7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4595AF2B">
            <w:pPr>
              <w:rPr>
                <w:rFonts w:ascii="黑体" w:hAnsi="黑体" w:eastAsia="黑体"/>
                <w:szCs w:val="21"/>
                <w:highlight w:val="none"/>
              </w:rPr>
            </w:pPr>
          </w:p>
        </w:tc>
        <w:tc>
          <w:tcPr>
            <w:tcW w:w="1714" w:type="dxa"/>
            <w:vMerge w:val="continue"/>
            <w:noWrap w:val="0"/>
            <w:tcMar>
              <w:left w:w="108" w:type="dxa"/>
              <w:right w:w="108" w:type="dxa"/>
            </w:tcMar>
            <w:vAlign w:val="center"/>
          </w:tcPr>
          <w:p w14:paraId="34BD8A7D">
            <w:pPr>
              <w:widowControl/>
              <w:spacing w:line="300" w:lineRule="exact"/>
              <w:rPr>
                <w:rFonts w:hint="eastAsia" w:ascii="黑体" w:hAnsi="黑体" w:eastAsia="黑体"/>
                <w:kern w:val="0"/>
                <w:szCs w:val="21"/>
                <w:highlight w:val="none"/>
              </w:rPr>
            </w:pPr>
          </w:p>
        </w:tc>
        <w:tc>
          <w:tcPr>
            <w:tcW w:w="3216" w:type="dxa"/>
            <w:noWrap w:val="0"/>
            <w:tcMar>
              <w:left w:w="108" w:type="dxa"/>
              <w:right w:w="108" w:type="dxa"/>
            </w:tcMar>
            <w:vAlign w:val="center"/>
          </w:tcPr>
          <w:p w14:paraId="5BF7435A">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2.</w:t>
            </w:r>
            <w:bookmarkStart w:id="6" w:name="_Hlk66975392"/>
            <w:r>
              <w:rPr>
                <w:rFonts w:hint="eastAsia" w:ascii="仿宋_GB2312" w:hAnsi="黑体" w:eastAsia="仿宋_GB2312"/>
                <w:kern w:val="0"/>
                <w:szCs w:val="21"/>
                <w:highlight w:val="none"/>
              </w:rPr>
              <w:t>没有现成信息需要另行制作</w:t>
            </w:r>
            <w:bookmarkEnd w:id="6"/>
          </w:p>
        </w:tc>
        <w:tc>
          <w:tcPr>
            <w:tcW w:w="505" w:type="dxa"/>
            <w:noWrap w:val="0"/>
            <w:tcMar>
              <w:left w:w="108" w:type="dxa"/>
              <w:right w:w="108" w:type="dxa"/>
            </w:tcMar>
            <w:vAlign w:val="center"/>
          </w:tcPr>
          <w:p w14:paraId="0A1A530F">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529712C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19F3A5E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10D081AD">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769D7FF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03BFD6FC">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122C691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75BDA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0E98DC1F">
            <w:pPr>
              <w:rPr>
                <w:rFonts w:ascii="黑体" w:hAnsi="黑体" w:eastAsia="黑体"/>
                <w:szCs w:val="21"/>
                <w:highlight w:val="none"/>
              </w:rPr>
            </w:pPr>
          </w:p>
        </w:tc>
        <w:tc>
          <w:tcPr>
            <w:tcW w:w="1714" w:type="dxa"/>
            <w:vMerge w:val="continue"/>
            <w:noWrap w:val="0"/>
            <w:tcMar>
              <w:left w:w="108" w:type="dxa"/>
              <w:right w:w="108" w:type="dxa"/>
            </w:tcMar>
            <w:vAlign w:val="center"/>
          </w:tcPr>
          <w:p w14:paraId="473BD5F8">
            <w:pPr>
              <w:widowControl/>
              <w:spacing w:line="300" w:lineRule="exact"/>
              <w:rPr>
                <w:rFonts w:hint="eastAsia" w:ascii="黑体" w:hAnsi="黑体" w:eastAsia="黑体"/>
                <w:kern w:val="0"/>
                <w:szCs w:val="21"/>
                <w:highlight w:val="none"/>
              </w:rPr>
            </w:pPr>
          </w:p>
        </w:tc>
        <w:tc>
          <w:tcPr>
            <w:tcW w:w="3216" w:type="dxa"/>
            <w:noWrap w:val="0"/>
            <w:tcMar>
              <w:left w:w="108" w:type="dxa"/>
              <w:right w:w="108" w:type="dxa"/>
            </w:tcMar>
            <w:vAlign w:val="center"/>
          </w:tcPr>
          <w:p w14:paraId="51E3CFB9">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3.</w:t>
            </w:r>
            <w:bookmarkStart w:id="7" w:name="_Hlk66975466"/>
            <w:r>
              <w:rPr>
                <w:rFonts w:hint="eastAsia" w:ascii="仿宋_GB2312" w:hAnsi="黑体" w:eastAsia="仿宋_GB2312"/>
                <w:kern w:val="0"/>
                <w:szCs w:val="21"/>
                <w:highlight w:val="none"/>
              </w:rPr>
              <w:t>补正后申请内容仍不明确</w:t>
            </w:r>
            <w:bookmarkEnd w:id="7"/>
          </w:p>
        </w:tc>
        <w:tc>
          <w:tcPr>
            <w:tcW w:w="505" w:type="dxa"/>
            <w:noWrap w:val="0"/>
            <w:tcMar>
              <w:left w:w="108" w:type="dxa"/>
              <w:right w:w="108" w:type="dxa"/>
            </w:tcMar>
            <w:vAlign w:val="center"/>
          </w:tcPr>
          <w:p w14:paraId="013874F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1C79BD4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B0DDD9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74CA309F">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06D2637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389B140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7006729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6D74E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2DF4F0CC">
            <w:pPr>
              <w:rPr>
                <w:rFonts w:ascii="黑体" w:hAnsi="黑体" w:eastAsia="黑体"/>
                <w:szCs w:val="21"/>
                <w:highlight w:val="none"/>
              </w:rPr>
            </w:pPr>
          </w:p>
        </w:tc>
        <w:tc>
          <w:tcPr>
            <w:tcW w:w="1714" w:type="dxa"/>
            <w:vMerge w:val="restart"/>
            <w:noWrap w:val="0"/>
            <w:tcMar>
              <w:left w:w="108" w:type="dxa"/>
              <w:right w:w="108" w:type="dxa"/>
            </w:tcMar>
            <w:vAlign w:val="center"/>
          </w:tcPr>
          <w:p w14:paraId="7DAC572F">
            <w:pPr>
              <w:widowControl/>
              <w:spacing w:line="300" w:lineRule="exact"/>
              <w:rPr>
                <w:rFonts w:hint="eastAsia" w:ascii="黑体" w:hAnsi="黑体" w:eastAsia="黑体"/>
                <w:kern w:val="0"/>
                <w:szCs w:val="21"/>
                <w:highlight w:val="none"/>
              </w:rPr>
            </w:pPr>
            <w:r>
              <w:rPr>
                <w:rFonts w:hint="eastAsia" w:ascii="黑体" w:hAnsi="黑体" w:eastAsia="黑体"/>
                <w:kern w:val="0"/>
                <w:szCs w:val="21"/>
                <w:highlight w:val="none"/>
              </w:rPr>
              <w:t>（五）不予处理</w:t>
            </w:r>
          </w:p>
        </w:tc>
        <w:tc>
          <w:tcPr>
            <w:tcW w:w="3216" w:type="dxa"/>
            <w:noWrap w:val="0"/>
            <w:tcMar>
              <w:left w:w="108" w:type="dxa"/>
              <w:right w:w="108" w:type="dxa"/>
            </w:tcMar>
            <w:vAlign w:val="center"/>
          </w:tcPr>
          <w:p w14:paraId="78588A3B">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1.</w:t>
            </w:r>
            <w:bookmarkStart w:id="8" w:name="_Hlk66975537"/>
            <w:r>
              <w:rPr>
                <w:rFonts w:hint="eastAsia" w:ascii="仿宋_GB2312" w:hAnsi="黑体" w:eastAsia="仿宋_GB2312"/>
                <w:kern w:val="0"/>
                <w:szCs w:val="21"/>
                <w:highlight w:val="none"/>
              </w:rPr>
              <w:t>信访举报投诉类申请</w:t>
            </w:r>
            <w:bookmarkEnd w:id="8"/>
          </w:p>
        </w:tc>
        <w:tc>
          <w:tcPr>
            <w:tcW w:w="505" w:type="dxa"/>
            <w:noWrap w:val="0"/>
            <w:tcMar>
              <w:left w:w="108" w:type="dxa"/>
              <w:right w:w="108" w:type="dxa"/>
            </w:tcMar>
            <w:vAlign w:val="center"/>
          </w:tcPr>
          <w:p w14:paraId="1A64E4B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50897C8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6660A9E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7DFFC80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2AEC0C5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15C80FB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53B39E40">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59DA0D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0F0061D0">
            <w:pPr>
              <w:rPr>
                <w:rFonts w:ascii="黑体" w:hAnsi="黑体" w:eastAsia="黑体"/>
                <w:szCs w:val="21"/>
                <w:highlight w:val="none"/>
              </w:rPr>
            </w:pPr>
          </w:p>
        </w:tc>
        <w:tc>
          <w:tcPr>
            <w:tcW w:w="1714" w:type="dxa"/>
            <w:vMerge w:val="continue"/>
            <w:noWrap w:val="0"/>
            <w:tcMar>
              <w:left w:w="108" w:type="dxa"/>
              <w:right w:w="108" w:type="dxa"/>
            </w:tcMar>
            <w:vAlign w:val="center"/>
          </w:tcPr>
          <w:p w14:paraId="263A881A">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66E27D1C">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2.重复申请</w:t>
            </w:r>
          </w:p>
        </w:tc>
        <w:tc>
          <w:tcPr>
            <w:tcW w:w="505" w:type="dxa"/>
            <w:noWrap w:val="0"/>
            <w:tcMar>
              <w:left w:w="108" w:type="dxa"/>
              <w:right w:w="108" w:type="dxa"/>
            </w:tcMar>
            <w:vAlign w:val="center"/>
          </w:tcPr>
          <w:p w14:paraId="28DDB70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5A9992B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17D8389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7CEF47F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7C51073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17B6A21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6FA7330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544C1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4" w:hRule="exact"/>
          <w:jc w:val="center"/>
        </w:trPr>
        <w:tc>
          <w:tcPr>
            <w:tcW w:w="415" w:type="dxa"/>
            <w:vMerge w:val="continue"/>
            <w:noWrap w:val="0"/>
            <w:tcMar>
              <w:left w:w="108" w:type="dxa"/>
              <w:right w:w="108" w:type="dxa"/>
            </w:tcMar>
            <w:vAlign w:val="center"/>
          </w:tcPr>
          <w:p w14:paraId="445148EB">
            <w:pPr>
              <w:rPr>
                <w:rFonts w:ascii="黑体" w:hAnsi="黑体" w:eastAsia="黑体"/>
                <w:szCs w:val="21"/>
                <w:highlight w:val="none"/>
              </w:rPr>
            </w:pPr>
          </w:p>
        </w:tc>
        <w:tc>
          <w:tcPr>
            <w:tcW w:w="1714" w:type="dxa"/>
            <w:vMerge w:val="continue"/>
            <w:noWrap w:val="0"/>
            <w:tcMar>
              <w:left w:w="108" w:type="dxa"/>
              <w:right w:w="108" w:type="dxa"/>
            </w:tcMar>
            <w:vAlign w:val="center"/>
          </w:tcPr>
          <w:p w14:paraId="4E9FA2FD">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3EEF24B7">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3.要求提供公开出版物</w:t>
            </w:r>
          </w:p>
        </w:tc>
        <w:tc>
          <w:tcPr>
            <w:tcW w:w="505" w:type="dxa"/>
            <w:noWrap w:val="0"/>
            <w:tcMar>
              <w:left w:w="108" w:type="dxa"/>
              <w:right w:w="108" w:type="dxa"/>
            </w:tcMar>
            <w:vAlign w:val="center"/>
          </w:tcPr>
          <w:p w14:paraId="2133683C">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C41519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6F1E2E8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262E344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59568E4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5BBB18B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5209AC0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62D4FA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8" w:hRule="exact"/>
          <w:jc w:val="center"/>
        </w:trPr>
        <w:tc>
          <w:tcPr>
            <w:tcW w:w="415" w:type="dxa"/>
            <w:vMerge w:val="continue"/>
            <w:noWrap w:val="0"/>
            <w:tcMar>
              <w:left w:w="108" w:type="dxa"/>
              <w:right w:w="108" w:type="dxa"/>
            </w:tcMar>
            <w:vAlign w:val="center"/>
          </w:tcPr>
          <w:p w14:paraId="2002FD4E">
            <w:pPr>
              <w:rPr>
                <w:rFonts w:ascii="黑体" w:hAnsi="黑体" w:eastAsia="黑体"/>
                <w:szCs w:val="21"/>
                <w:highlight w:val="none"/>
              </w:rPr>
            </w:pPr>
          </w:p>
        </w:tc>
        <w:tc>
          <w:tcPr>
            <w:tcW w:w="1714" w:type="dxa"/>
            <w:vMerge w:val="continue"/>
            <w:noWrap w:val="0"/>
            <w:tcMar>
              <w:left w:w="108" w:type="dxa"/>
              <w:right w:w="108" w:type="dxa"/>
            </w:tcMar>
            <w:vAlign w:val="center"/>
          </w:tcPr>
          <w:p w14:paraId="77F66973">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34450955">
            <w:pPr>
              <w:widowControl/>
              <w:spacing w:line="300" w:lineRule="exact"/>
              <w:rPr>
                <w:rFonts w:hint="eastAsia" w:ascii="仿宋_GB2312" w:hAnsi="黑体" w:eastAsia="仿宋_GB2312"/>
                <w:kern w:val="0"/>
                <w:szCs w:val="21"/>
                <w:highlight w:val="none"/>
              </w:rPr>
            </w:pPr>
            <w:r>
              <w:rPr>
                <w:rFonts w:hint="eastAsia" w:ascii="仿宋_GB2312" w:hAnsi="黑体" w:eastAsia="仿宋_GB2312"/>
                <w:kern w:val="0"/>
                <w:szCs w:val="21"/>
                <w:highlight w:val="none"/>
              </w:rPr>
              <w:t>4.无正当理由大量反复申请</w:t>
            </w:r>
          </w:p>
        </w:tc>
        <w:tc>
          <w:tcPr>
            <w:tcW w:w="505" w:type="dxa"/>
            <w:noWrap w:val="0"/>
            <w:tcMar>
              <w:left w:w="108" w:type="dxa"/>
              <w:right w:w="108" w:type="dxa"/>
            </w:tcMar>
            <w:vAlign w:val="center"/>
          </w:tcPr>
          <w:p w14:paraId="70F75BF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0621BD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06CAC6F1">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53D5B7FA">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3D05C11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384FD0A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4D9DAB0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0CF079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25" w:hRule="atLeast"/>
          <w:jc w:val="center"/>
        </w:trPr>
        <w:tc>
          <w:tcPr>
            <w:tcW w:w="415" w:type="dxa"/>
            <w:vMerge w:val="continue"/>
            <w:noWrap w:val="0"/>
            <w:tcMar>
              <w:left w:w="108" w:type="dxa"/>
              <w:right w:w="108" w:type="dxa"/>
            </w:tcMar>
            <w:vAlign w:val="center"/>
          </w:tcPr>
          <w:p w14:paraId="6EDBC160">
            <w:pPr>
              <w:rPr>
                <w:rFonts w:ascii="黑体" w:hAnsi="黑体" w:eastAsia="黑体"/>
                <w:szCs w:val="21"/>
                <w:highlight w:val="none"/>
              </w:rPr>
            </w:pPr>
          </w:p>
        </w:tc>
        <w:tc>
          <w:tcPr>
            <w:tcW w:w="1714" w:type="dxa"/>
            <w:vMerge w:val="continue"/>
            <w:noWrap w:val="0"/>
            <w:tcMar>
              <w:left w:w="108" w:type="dxa"/>
              <w:right w:w="108" w:type="dxa"/>
            </w:tcMar>
            <w:vAlign w:val="center"/>
          </w:tcPr>
          <w:p w14:paraId="478E256D">
            <w:pPr>
              <w:spacing w:line="200" w:lineRule="exact"/>
              <w:rPr>
                <w:rFonts w:ascii="黑体" w:hAnsi="黑体" w:eastAsia="黑体"/>
                <w:szCs w:val="21"/>
                <w:highlight w:val="none"/>
              </w:rPr>
            </w:pPr>
          </w:p>
        </w:tc>
        <w:tc>
          <w:tcPr>
            <w:tcW w:w="3216" w:type="dxa"/>
            <w:noWrap w:val="0"/>
            <w:tcMar>
              <w:left w:w="108" w:type="dxa"/>
              <w:right w:w="108" w:type="dxa"/>
            </w:tcMar>
            <w:vAlign w:val="center"/>
          </w:tcPr>
          <w:p w14:paraId="75086D07">
            <w:pPr>
              <w:widowControl/>
              <w:spacing w:line="300" w:lineRule="exact"/>
              <w:rPr>
                <w:rFonts w:ascii="仿宋_GB2312" w:hAnsi="黑体" w:eastAsia="仿宋_GB2312"/>
                <w:kern w:val="0"/>
                <w:szCs w:val="21"/>
                <w:highlight w:val="none"/>
              </w:rPr>
            </w:pPr>
            <w:r>
              <w:rPr>
                <w:rFonts w:hint="eastAsia" w:ascii="仿宋_GB2312" w:hAnsi="黑体" w:eastAsia="仿宋_GB2312"/>
                <w:kern w:val="0"/>
                <w:szCs w:val="21"/>
                <w:highlight w:val="none"/>
              </w:rPr>
              <w:t>5.要求行政机关确认或重新</w:t>
            </w:r>
          </w:p>
          <w:p w14:paraId="6FB4B7CF">
            <w:pPr>
              <w:widowControl/>
              <w:spacing w:line="300" w:lineRule="exact"/>
              <w:ind w:firstLine="220" w:firstLineChars="100"/>
              <w:rPr>
                <w:rFonts w:ascii="仿宋_GB2312" w:hAnsi="黑体" w:eastAsia="仿宋_GB2312"/>
                <w:szCs w:val="21"/>
                <w:highlight w:val="none"/>
              </w:rPr>
            </w:pPr>
            <w:r>
              <w:rPr>
                <w:rFonts w:hint="eastAsia" w:ascii="仿宋_GB2312" w:hAnsi="黑体" w:eastAsia="仿宋_GB2312"/>
                <w:kern w:val="0"/>
                <w:szCs w:val="21"/>
                <w:highlight w:val="none"/>
              </w:rPr>
              <w:t>出具已获取信息</w:t>
            </w:r>
          </w:p>
        </w:tc>
        <w:tc>
          <w:tcPr>
            <w:tcW w:w="505" w:type="dxa"/>
            <w:noWrap w:val="0"/>
            <w:tcMar>
              <w:left w:w="108" w:type="dxa"/>
              <w:right w:w="108" w:type="dxa"/>
            </w:tcMar>
            <w:vAlign w:val="center"/>
          </w:tcPr>
          <w:p w14:paraId="5738620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5F9BDCBD">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623B765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3CDD68B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4382E93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32DDF6F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2B3067C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090755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26" w:hRule="atLeast"/>
          <w:jc w:val="center"/>
        </w:trPr>
        <w:tc>
          <w:tcPr>
            <w:tcW w:w="415" w:type="dxa"/>
            <w:vMerge w:val="continue"/>
            <w:noWrap w:val="0"/>
            <w:tcMar>
              <w:left w:w="108" w:type="dxa"/>
              <w:right w:w="108" w:type="dxa"/>
            </w:tcMar>
            <w:vAlign w:val="center"/>
          </w:tcPr>
          <w:p w14:paraId="3401AF58">
            <w:pPr>
              <w:rPr>
                <w:rFonts w:ascii="黑体" w:hAnsi="黑体" w:eastAsia="黑体"/>
                <w:szCs w:val="21"/>
                <w:highlight w:val="none"/>
              </w:rPr>
            </w:pPr>
          </w:p>
        </w:tc>
        <w:tc>
          <w:tcPr>
            <w:tcW w:w="1714" w:type="dxa"/>
            <w:vMerge w:val="restart"/>
            <w:noWrap w:val="0"/>
            <w:tcMar>
              <w:left w:w="108" w:type="dxa"/>
              <w:right w:w="108" w:type="dxa"/>
            </w:tcMar>
            <w:vAlign w:val="center"/>
          </w:tcPr>
          <w:p w14:paraId="1B45A73B">
            <w:pPr>
              <w:widowControl/>
              <w:spacing w:line="300" w:lineRule="exact"/>
              <w:rPr>
                <w:rFonts w:ascii="黑体" w:hAnsi="黑体" w:eastAsia="黑体"/>
                <w:kern w:val="0"/>
                <w:szCs w:val="21"/>
                <w:highlight w:val="none"/>
              </w:rPr>
            </w:pPr>
            <w:r>
              <w:rPr>
                <w:rFonts w:hint="eastAsia" w:ascii="黑体" w:hAnsi="黑体" w:eastAsia="黑体"/>
                <w:kern w:val="0"/>
                <w:szCs w:val="21"/>
                <w:highlight w:val="none"/>
              </w:rPr>
              <w:t>（六）其他处理</w:t>
            </w:r>
          </w:p>
        </w:tc>
        <w:tc>
          <w:tcPr>
            <w:tcW w:w="3216" w:type="dxa"/>
            <w:noWrap w:val="0"/>
            <w:vAlign w:val="center"/>
          </w:tcPr>
          <w:p w14:paraId="71C084E5">
            <w:pPr>
              <w:widowControl/>
              <w:spacing w:line="300" w:lineRule="exact"/>
              <w:rPr>
                <w:rFonts w:ascii="仿宋_GB2312" w:hAnsi="楷体" w:eastAsia="仿宋_GB2312"/>
                <w:highlight w:val="none"/>
              </w:rPr>
            </w:pPr>
            <w:r>
              <w:rPr>
                <w:rFonts w:hint="eastAsia" w:ascii="仿宋_GB2312" w:hAnsi="楷体" w:eastAsia="仿宋_GB2312"/>
                <w:highlight w:val="none"/>
              </w:rPr>
              <w:t>1.申请人无正当理由逾期不补正、行政机关不再处理其政府信息公开申请</w:t>
            </w:r>
          </w:p>
        </w:tc>
        <w:tc>
          <w:tcPr>
            <w:tcW w:w="505" w:type="dxa"/>
            <w:noWrap w:val="0"/>
            <w:tcMar>
              <w:left w:w="108" w:type="dxa"/>
              <w:right w:w="108" w:type="dxa"/>
            </w:tcMar>
            <w:vAlign w:val="center"/>
          </w:tcPr>
          <w:p w14:paraId="5CA744D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753DEFC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27208A7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5C125D75">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2832A79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56F14F41">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1429EA5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23D0A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26" w:hRule="atLeast"/>
          <w:jc w:val="center"/>
        </w:trPr>
        <w:tc>
          <w:tcPr>
            <w:tcW w:w="415" w:type="dxa"/>
            <w:vMerge w:val="continue"/>
            <w:noWrap w:val="0"/>
            <w:tcMar>
              <w:left w:w="108" w:type="dxa"/>
              <w:right w:w="108" w:type="dxa"/>
            </w:tcMar>
            <w:vAlign w:val="center"/>
          </w:tcPr>
          <w:p w14:paraId="2F2BFC67">
            <w:pPr>
              <w:rPr>
                <w:rFonts w:ascii="黑体" w:hAnsi="黑体" w:eastAsia="黑体"/>
                <w:szCs w:val="21"/>
                <w:highlight w:val="none"/>
              </w:rPr>
            </w:pPr>
          </w:p>
        </w:tc>
        <w:tc>
          <w:tcPr>
            <w:tcW w:w="1714" w:type="dxa"/>
            <w:vMerge w:val="continue"/>
            <w:noWrap w:val="0"/>
            <w:tcMar>
              <w:left w:w="108" w:type="dxa"/>
              <w:right w:w="108" w:type="dxa"/>
            </w:tcMar>
            <w:vAlign w:val="center"/>
          </w:tcPr>
          <w:p w14:paraId="343AC2C2">
            <w:pPr>
              <w:widowControl/>
              <w:spacing w:line="300" w:lineRule="exact"/>
              <w:rPr>
                <w:rFonts w:ascii="黑体" w:hAnsi="黑体" w:eastAsia="黑体"/>
                <w:kern w:val="0"/>
                <w:szCs w:val="21"/>
                <w:highlight w:val="none"/>
              </w:rPr>
            </w:pPr>
          </w:p>
        </w:tc>
        <w:tc>
          <w:tcPr>
            <w:tcW w:w="3216" w:type="dxa"/>
            <w:noWrap w:val="0"/>
            <w:vAlign w:val="center"/>
          </w:tcPr>
          <w:p w14:paraId="7C2F9D8B">
            <w:pPr>
              <w:widowControl/>
              <w:spacing w:line="300" w:lineRule="exact"/>
              <w:rPr>
                <w:rFonts w:ascii="仿宋_GB2312" w:hAnsi="黑体" w:eastAsia="仿宋_GB2312"/>
                <w:kern w:val="0"/>
                <w:szCs w:val="21"/>
                <w:highlight w:val="none"/>
              </w:rPr>
            </w:pPr>
            <w:r>
              <w:rPr>
                <w:rFonts w:hint="eastAsia" w:ascii="仿宋_GB2312" w:hAnsi="楷体" w:eastAsia="仿宋_GB2312"/>
                <w:highlight w:val="none"/>
              </w:rPr>
              <w:t>2.申请人逾期未按收费通知要求缴纳费用、行政机关不再处理其政府信息公开申请</w:t>
            </w:r>
          </w:p>
        </w:tc>
        <w:tc>
          <w:tcPr>
            <w:tcW w:w="505" w:type="dxa"/>
            <w:noWrap w:val="0"/>
            <w:tcMar>
              <w:left w:w="108" w:type="dxa"/>
              <w:right w:w="108" w:type="dxa"/>
            </w:tcMar>
            <w:vAlign w:val="center"/>
          </w:tcPr>
          <w:p w14:paraId="1E0F718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0FB1E06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405139F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7A8748C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312300D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58A46FC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64A536B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6B27DD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415" w:type="dxa"/>
            <w:vMerge w:val="continue"/>
            <w:noWrap w:val="0"/>
            <w:tcMar>
              <w:left w:w="108" w:type="dxa"/>
              <w:right w:w="108" w:type="dxa"/>
            </w:tcMar>
            <w:vAlign w:val="center"/>
          </w:tcPr>
          <w:p w14:paraId="4ABD0EFC">
            <w:pPr>
              <w:rPr>
                <w:rFonts w:ascii="黑体" w:hAnsi="黑体" w:eastAsia="黑体"/>
                <w:szCs w:val="21"/>
                <w:highlight w:val="none"/>
              </w:rPr>
            </w:pPr>
          </w:p>
        </w:tc>
        <w:tc>
          <w:tcPr>
            <w:tcW w:w="1714" w:type="dxa"/>
            <w:vMerge w:val="continue"/>
            <w:noWrap w:val="0"/>
            <w:tcMar>
              <w:left w:w="108" w:type="dxa"/>
              <w:right w:w="108" w:type="dxa"/>
            </w:tcMar>
            <w:vAlign w:val="center"/>
          </w:tcPr>
          <w:p w14:paraId="2C4EBC96">
            <w:pPr>
              <w:widowControl/>
              <w:spacing w:line="300" w:lineRule="exact"/>
              <w:rPr>
                <w:rFonts w:ascii="黑体" w:hAnsi="黑体" w:eastAsia="黑体"/>
                <w:kern w:val="0"/>
                <w:szCs w:val="21"/>
                <w:highlight w:val="none"/>
              </w:rPr>
            </w:pPr>
          </w:p>
        </w:tc>
        <w:tc>
          <w:tcPr>
            <w:tcW w:w="3216" w:type="dxa"/>
            <w:noWrap w:val="0"/>
            <w:vAlign w:val="center"/>
          </w:tcPr>
          <w:p w14:paraId="78AAB742">
            <w:pPr>
              <w:widowControl/>
              <w:spacing w:line="300" w:lineRule="exact"/>
              <w:rPr>
                <w:rFonts w:ascii="仿宋_GB2312" w:hAnsi="黑体" w:eastAsia="仿宋_GB2312"/>
                <w:kern w:val="0"/>
                <w:szCs w:val="21"/>
                <w:highlight w:val="none"/>
              </w:rPr>
            </w:pPr>
            <w:r>
              <w:rPr>
                <w:rFonts w:hint="eastAsia" w:ascii="仿宋_GB2312" w:hAnsi="楷体" w:eastAsia="仿宋_GB2312"/>
                <w:highlight w:val="none"/>
              </w:rPr>
              <w:t>3.其他</w:t>
            </w:r>
          </w:p>
        </w:tc>
        <w:tc>
          <w:tcPr>
            <w:tcW w:w="505" w:type="dxa"/>
            <w:noWrap w:val="0"/>
            <w:tcMar>
              <w:left w:w="108" w:type="dxa"/>
              <w:right w:w="108" w:type="dxa"/>
            </w:tcMar>
            <w:vAlign w:val="center"/>
          </w:tcPr>
          <w:p w14:paraId="552250DD">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7080567D">
            <w:pPr>
              <w:wordWrap w:val="0"/>
              <w:adjustRightInd/>
              <w:snapToGrid/>
              <w:spacing w:after="0" w:line="360" w:lineRule="atLeast"/>
              <w:jc w:val="center"/>
              <w:rPr>
                <w:rFonts w:hint="default"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79C3925E">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3F437A8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0F17A3B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5779713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40B8AE6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034ABB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415" w:type="dxa"/>
            <w:vMerge w:val="continue"/>
            <w:noWrap w:val="0"/>
            <w:tcMar>
              <w:left w:w="108" w:type="dxa"/>
              <w:right w:w="108" w:type="dxa"/>
            </w:tcMar>
            <w:vAlign w:val="center"/>
          </w:tcPr>
          <w:p w14:paraId="3CEFDB12">
            <w:pPr>
              <w:rPr>
                <w:rFonts w:ascii="黑体" w:hAnsi="黑体" w:eastAsia="黑体"/>
                <w:szCs w:val="21"/>
                <w:highlight w:val="none"/>
              </w:rPr>
            </w:pPr>
          </w:p>
        </w:tc>
        <w:tc>
          <w:tcPr>
            <w:tcW w:w="4930" w:type="dxa"/>
            <w:gridSpan w:val="2"/>
            <w:noWrap w:val="0"/>
            <w:tcMar>
              <w:left w:w="108" w:type="dxa"/>
              <w:right w:w="108" w:type="dxa"/>
            </w:tcMar>
            <w:vAlign w:val="center"/>
          </w:tcPr>
          <w:p w14:paraId="38ED7B11">
            <w:pPr>
              <w:widowControl/>
              <w:spacing w:line="300" w:lineRule="exact"/>
              <w:rPr>
                <w:rFonts w:ascii="黑体" w:hAnsi="黑体" w:eastAsia="黑体"/>
                <w:kern w:val="0"/>
                <w:szCs w:val="21"/>
                <w:highlight w:val="none"/>
              </w:rPr>
            </w:pPr>
            <w:r>
              <w:rPr>
                <w:rFonts w:hint="eastAsia" w:ascii="黑体" w:hAnsi="黑体" w:eastAsia="黑体"/>
                <w:kern w:val="0"/>
                <w:szCs w:val="21"/>
                <w:highlight w:val="none"/>
              </w:rPr>
              <w:t>（七）总计</w:t>
            </w:r>
          </w:p>
        </w:tc>
        <w:tc>
          <w:tcPr>
            <w:tcW w:w="505" w:type="dxa"/>
            <w:noWrap w:val="0"/>
            <w:tcMar>
              <w:left w:w="108" w:type="dxa"/>
              <w:right w:w="108" w:type="dxa"/>
            </w:tcMar>
            <w:vAlign w:val="center"/>
          </w:tcPr>
          <w:p w14:paraId="2332D5E8">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7F50C190">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4DF35276">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623F44CD">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74DF04B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11CA7CB3">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06C45734">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r w14:paraId="3E268C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5345" w:type="dxa"/>
            <w:gridSpan w:val="3"/>
            <w:noWrap w:val="0"/>
            <w:tcMar>
              <w:left w:w="108" w:type="dxa"/>
              <w:right w:w="108" w:type="dxa"/>
            </w:tcMar>
            <w:vAlign w:val="center"/>
          </w:tcPr>
          <w:p w14:paraId="314E14D4">
            <w:pPr>
              <w:widowControl/>
              <w:spacing w:line="300" w:lineRule="exact"/>
              <w:rPr>
                <w:rFonts w:ascii="黑体" w:hAnsi="黑体" w:eastAsia="黑体"/>
                <w:kern w:val="0"/>
                <w:szCs w:val="21"/>
                <w:highlight w:val="none"/>
              </w:rPr>
            </w:pPr>
            <w:r>
              <w:rPr>
                <w:rFonts w:hint="eastAsia" w:ascii="黑体" w:hAnsi="黑体" w:eastAsia="黑体"/>
                <w:kern w:val="0"/>
                <w:szCs w:val="21"/>
                <w:highlight w:val="none"/>
              </w:rPr>
              <w:t>四、结转下年度继续办理</w:t>
            </w:r>
          </w:p>
        </w:tc>
        <w:tc>
          <w:tcPr>
            <w:tcW w:w="505" w:type="dxa"/>
            <w:noWrap w:val="0"/>
            <w:tcMar>
              <w:left w:w="108" w:type="dxa"/>
              <w:right w:w="108" w:type="dxa"/>
            </w:tcMar>
            <w:vAlign w:val="center"/>
          </w:tcPr>
          <w:p w14:paraId="0A17F5D9">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7C2644F7">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9" w:type="dxa"/>
            <w:gridSpan w:val="2"/>
            <w:noWrap w:val="0"/>
            <w:tcMar>
              <w:left w:w="108" w:type="dxa"/>
              <w:right w:w="108" w:type="dxa"/>
            </w:tcMar>
            <w:vAlign w:val="center"/>
          </w:tcPr>
          <w:p w14:paraId="35F704B0">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20" w:type="dxa"/>
            <w:noWrap w:val="0"/>
            <w:tcMar>
              <w:left w:w="108" w:type="dxa"/>
              <w:right w:w="108" w:type="dxa"/>
            </w:tcMar>
            <w:vAlign w:val="center"/>
          </w:tcPr>
          <w:p w14:paraId="28369A3A">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675" w:type="dxa"/>
            <w:noWrap w:val="0"/>
            <w:tcMar>
              <w:left w:w="108" w:type="dxa"/>
              <w:right w:w="108" w:type="dxa"/>
            </w:tcMar>
            <w:vAlign w:val="center"/>
          </w:tcPr>
          <w:p w14:paraId="7FB81FC2">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531" w:type="dxa"/>
            <w:gridSpan w:val="2"/>
            <w:noWrap w:val="0"/>
            <w:tcMar>
              <w:left w:w="108" w:type="dxa"/>
              <w:right w:w="108" w:type="dxa"/>
            </w:tcMar>
            <w:vAlign w:val="center"/>
          </w:tcPr>
          <w:p w14:paraId="588E9F8B">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c>
          <w:tcPr>
            <w:tcW w:w="705" w:type="dxa"/>
            <w:noWrap w:val="0"/>
            <w:tcMar>
              <w:left w:w="108" w:type="dxa"/>
              <w:right w:w="108" w:type="dxa"/>
            </w:tcMar>
            <w:vAlign w:val="center"/>
          </w:tcPr>
          <w:p w14:paraId="60C8E84A">
            <w:pPr>
              <w:wordWrap w:val="0"/>
              <w:adjustRightInd/>
              <w:snapToGrid/>
              <w:spacing w:after="0" w:line="360" w:lineRule="atLeast"/>
              <w:jc w:val="center"/>
              <w:rPr>
                <w:rFonts w:hint="eastAsia" w:ascii="仿宋_GB2312" w:hAnsi="Times New Roman" w:eastAsia="仿宋_GB2312"/>
                <w:color w:val="auto"/>
                <w:szCs w:val="21"/>
                <w:highlight w:val="none"/>
                <w:lang w:val="en-US" w:eastAsia="zh-CN"/>
              </w:rPr>
            </w:pPr>
            <w:r>
              <w:rPr>
                <w:rFonts w:hint="eastAsia" w:ascii="仿宋_GB2312" w:hAnsi="Times New Roman" w:eastAsia="仿宋_GB2312"/>
                <w:color w:val="auto"/>
                <w:szCs w:val="21"/>
                <w:highlight w:val="none"/>
                <w:lang w:val="en-US" w:eastAsia="zh-CN"/>
              </w:rPr>
              <w:t>0</w:t>
            </w:r>
          </w:p>
        </w:tc>
      </w:tr>
    </w:tbl>
    <w:p w14:paraId="2CE0B042">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宋体"/>
          <w:color w:val="000000"/>
          <w:sz w:val="32"/>
          <w:szCs w:val="32"/>
          <w:highlight w:val="none"/>
        </w:rPr>
      </w:pPr>
      <w:r>
        <w:rPr>
          <w:rFonts w:hint="eastAsia" w:ascii="黑体" w:hAnsi="黑体" w:eastAsia="黑体" w:cs="宋体"/>
          <w:color w:val="000000"/>
          <w:sz w:val="32"/>
          <w:szCs w:val="32"/>
          <w:highlight w:val="none"/>
        </w:rPr>
        <w:t>四、政府信息公开行政复议、行政诉讼情况</w:t>
      </w: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14:paraId="46C88A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A236348">
            <w:pPr>
              <w:widowControl/>
              <w:jc w:val="center"/>
              <w:rPr>
                <w:rFonts w:ascii="黑体" w:hAnsi="黑体" w:eastAsia="黑体"/>
                <w:highlight w:val="none"/>
              </w:rPr>
            </w:pPr>
            <w:r>
              <w:rPr>
                <w:rFonts w:ascii="黑体" w:hAnsi="黑体" w:eastAsia="黑体"/>
                <w:kern w:val="0"/>
                <w:sz w:val="20"/>
                <w:szCs w:val="20"/>
                <w:highlight w:val="none"/>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14:paraId="3E32007A">
            <w:pPr>
              <w:widowControl/>
              <w:jc w:val="center"/>
              <w:rPr>
                <w:rFonts w:ascii="黑体" w:hAnsi="黑体" w:eastAsia="黑体"/>
                <w:highlight w:val="none"/>
              </w:rPr>
            </w:pPr>
            <w:r>
              <w:rPr>
                <w:rFonts w:ascii="黑体" w:hAnsi="黑体" w:eastAsia="黑体"/>
                <w:kern w:val="0"/>
                <w:sz w:val="20"/>
                <w:szCs w:val="20"/>
                <w:highlight w:val="none"/>
              </w:rPr>
              <w:t>行政诉讼</w:t>
            </w:r>
          </w:p>
        </w:tc>
      </w:tr>
      <w:tr w14:paraId="148D58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1"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5A0B9BCB">
            <w:pPr>
              <w:widowControl/>
              <w:ind w:left="-156" w:leftChars="-71" w:right="-178" w:rightChars="-81"/>
              <w:jc w:val="center"/>
              <w:rPr>
                <w:rFonts w:ascii="黑体" w:hAnsi="黑体" w:eastAsia="黑体"/>
                <w:kern w:val="0"/>
                <w:sz w:val="20"/>
                <w:szCs w:val="20"/>
                <w:highlight w:val="none"/>
              </w:rPr>
            </w:pPr>
            <w:r>
              <w:rPr>
                <w:rFonts w:ascii="黑体" w:hAnsi="黑体" w:eastAsia="黑体"/>
                <w:kern w:val="0"/>
                <w:sz w:val="20"/>
                <w:szCs w:val="20"/>
                <w:highlight w:val="none"/>
              </w:rPr>
              <w:t>结果</w:t>
            </w:r>
          </w:p>
          <w:p w14:paraId="53829836">
            <w:pPr>
              <w:widowControl/>
              <w:ind w:left="-156" w:leftChars="-71" w:right="-178" w:rightChars="-81"/>
              <w:jc w:val="center"/>
              <w:rPr>
                <w:rFonts w:ascii="黑体" w:hAnsi="黑体" w:eastAsia="黑体"/>
                <w:highlight w:val="none"/>
              </w:rPr>
            </w:pPr>
            <w:r>
              <w:rPr>
                <w:rFonts w:ascii="黑体" w:hAnsi="黑体" w:eastAsia="黑体"/>
                <w:kern w:val="0"/>
                <w:sz w:val="20"/>
                <w:szCs w:val="20"/>
                <w:highlight w:val="none"/>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14:paraId="67F6AC66">
            <w:pPr>
              <w:widowControl/>
              <w:ind w:left="-45" w:leftChars="-21" w:right="-139" w:rightChars="-63" w:hanging="1"/>
              <w:jc w:val="center"/>
              <w:rPr>
                <w:rFonts w:ascii="黑体" w:hAnsi="黑体" w:eastAsia="黑体"/>
                <w:highlight w:val="none"/>
              </w:rPr>
            </w:pPr>
            <w:r>
              <w:rPr>
                <w:rFonts w:ascii="黑体" w:hAnsi="黑体" w:eastAsia="黑体"/>
                <w:kern w:val="0"/>
                <w:sz w:val="20"/>
                <w:szCs w:val="20"/>
                <w:highlight w:val="none"/>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6C347A9F">
            <w:pPr>
              <w:widowControl/>
              <w:ind w:left="-86" w:leftChars="-39" w:right="-101" w:rightChars="-46"/>
              <w:jc w:val="center"/>
              <w:rPr>
                <w:rFonts w:ascii="黑体" w:hAnsi="黑体" w:eastAsia="黑体"/>
                <w:highlight w:val="none"/>
              </w:rPr>
            </w:pPr>
            <w:r>
              <w:rPr>
                <w:rFonts w:ascii="黑体" w:hAnsi="黑体" w:eastAsia="黑体"/>
                <w:kern w:val="0"/>
                <w:sz w:val="20"/>
                <w:szCs w:val="20"/>
                <w:highlight w:val="none"/>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4E1A418B">
            <w:pPr>
              <w:widowControl/>
              <w:ind w:left="-123" w:leftChars="-56" w:right="-123" w:rightChars="-56"/>
              <w:jc w:val="center"/>
              <w:rPr>
                <w:rFonts w:ascii="黑体" w:hAnsi="黑体" w:eastAsia="黑体"/>
                <w:kern w:val="0"/>
                <w:sz w:val="20"/>
                <w:szCs w:val="20"/>
                <w:highlight w:val="none"/>
              </w:rPr>
            </w:pPr>
            <w:r>
              <w:rPr>
                <w:rFonts w:ascii="黑体" w:hAnsi="黑体" w:eastAsia="黑体"/>
                <w:kern w:val="0"/>
                <w:sz w:val="20"/>
                <w:szCs w:val="20"/>
                <w:highlight w:val="none"/>
              </w:rPr>
              <w:t>尚未</w:t>
            </w:r>
          </w:p>
          <w:p w14:paraId="0354327A">
            <w:pPr>
              <w:widowControl/>
              <w:ind w:left="-123" w:leftChars="-56" w:right="-123" w:rightChars="-56"/>
              <w:jc w:val="center"/>
              <w:rPr>
                <w:rFonts w:ascii="黑体" w:hAnsi="黑体" w:eastAsia="黑体"/>
                <w:highlight w:val="none"/>
              </w:rPr>
            </w:pPr>
            <w:r>
              <w:rPr>
                <w:rFonts w:ascii="黑体" w:hAnsi="黑体" w:eastAsia="黑体"/>
                <w:kern w:val="0"/>
                <w:sz w:val="20"/>
                <w:szCs w:val="20"/>
                <w:highlight w:val="none"/>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3ED32A90">
            <w:pPr>
              <w:widowControl/>
              <w:spacing w:line="320" w:lineRule="exact"/>
              <w:jc w:val="center"/>
              <w:rPr>
                <w:rFonts w:ascii="黑体" w:hAnsi="黑体" w:eastAsia="黑体"/>
                <w:kern w:val="0"/>
                <w:sz w:val="20"/>
                <w:szCs w:val="20"/>
                <w:highlight w:val="none"/>
              </w:rPr>
            </w:pPr>
            <w:r>
              <w:rPr>
                <w:rFonts w:ascii="黑体" w:hAnsi="黑体" w:eastAsia="黑体"/>
                <w:kern w:val="0"/>
                <w:sz w:val="20"/>
                <w:szCs w:val="20"/>
                <w:highlight w:val="none"/>
              </w:rPr>
              <w:t>总</w:t>
            </w:r>
          </w:p>
          <w:p w14:paraId="79C0637F">
            <w:pPr>
              <w:widowControl/>
              <w:spacing w:line="320" w:lineRule="exact"/>
              <w:jc w:val="center"/>
              <w:rPr>
                <w:rFonts w:ascii="黑体" w:hAnsi="黑体" w:eastAsia="黑体"/>
                <w:highlight w:val="none"/>
              </w:rPr>
            </w:pPr>
            <w:r>
              <w:rPr>
                <w:rFonts w:ascii="黑体" w:hAnsi="黑体" w:eastAsia="黑体"/>
                <w:kern w:val="0"/>
                <w:sz w:val="20"/>
                <w:szCs w:val="20"/>
                <w:highlight w:val="none"/>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1B12A12A">
            <w:pPr>
              <w:widowControl/>
              <w:jc w:val="center"/>
              <w:rPr>
                <w:rFonts w:ascii="黑体" w:hAnsi="黑体" w:eastAsia="黑体"/>
                <w:highlight w:val="none"/>
              </w:rPr>
            </w:pPr>
            <w:r>
              <w:rPr>
                <w:rFonts w:ascii="黑体" w:hAnsi="黑体" w:eastAsia="黑体"/>
                <w:kern w:val="0"/>
                <w:sz w:val="20"/>
                <w:szCs w:val="20"/>
                <w:highlight w:val="none"/>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5941321E">
            <w:pPr>
              <w:widowControl/>
              <w:jc w:val="center"/>
              <w:rPr>
                <w:rFonts w:ascii="黑体" w:hAnsi="黑体" w:eastAsia="黑体"/>
                <w:highlight w:val="none"/>
              </w:rPr>
            </w:pPr>
            <w:bookmarkStart w:id="9" w:name="_Hlk67039688"/>
            <w:r>
              <w:rPr>
                <w:rFonts w:ascii="黑体" w:hAnsi="黑体" w:eastAsia="黑体"/>
                <w:kern w:val="0"/>
                <w:sz w:val="20"/>
                <w:szCs w:val="20"/>
                <w:highlight w:val="none"/>
              </w:rPr>
              <w:t>复议后起诉</w:t>
            </w:r>
            <w:bookmarkEnd w:id="9"/>
          </w:p>
        </w:tc>
      </w:tr>
      <w:tr w14:paraId="16F0DD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15CCBA14">
            <w:pPr>
              <w:rPr>
                <w:rFonts w:ascii="黑体" w:hAnsi="黑体" w:eastAsia="黑体"/>
                <w:sz w:val="24"/>
                <w:highlight w:val="none"/>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14:paraId="7AAD5EF1">
            <w:pPr>
              <w:rPr>
                <w:rFonts w:ascii="黑体" w:hAnsi="黑体" w:eastAsia="黑体"/>
                <w:sz w:val="24"/>
                <w:highlight w:val="none"/>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13420C96">
            <w:pPr>
              <w:rPr>
                <w:rFonts w:ascii="黑体" w:hAnsi="黑体" w:eastAsia="黑体"/>
                <w:sz w:val="24"/>
                <w:highlight w:val="none"/>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3611D2A1">
            <w:pPr>
              <w:rPr>
                <w:rFonts w:ascii="黑体" w:hAnsi="黑体" w:eastAsia="黑体"/>
                <w:sz w:val="24"/>
                <w:highlight w:val="none"/>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14:paraId="12AED331">
            <w:pPr>
              <w:rPr>
                <w:rFonts w:ascii="黑体" w:hAnsi="黑体" w:eastAsia="黑体"/>
                <w:sz w:val="24"/>
                <w:highlight w:val="none"/>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0D389A23">
            <w:pPr>
              <w:widowControl/>
              <w:ind w:left="-110" w:leftChars="-50" w:right="-132" w:rightChars="-60"/>
              <w:jc w:val="center"/>
              <w:rPr>
                <w:rFonts w:ascii="黑体" w:hAnsi="黑体" w:eastAsia="黑体"/>
                <w:highlight w:val="none"/>
              </w:rPr>
            </w:pPr>
            <w:r>
              <w:rPr>
                <w:rFonts w:ascii="黑体" w:hAnsi="黑体" w:eastAsia="黑体"/>
                <w:kern w:val="0"/>
                <w:sz w:val="20"/>
                <w:szCs w:val="20"/>
                <w:highlight w:val="none"/>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1F647FC6">
            <w:pPr>
              <w:widowControl/>
              <w:ind w:left="-90" w:leftChars="-41" w:right="-92" w:rightChars="-42"/>
              <w:jc w:val="center"/>
              <w:rPr>
                <w:rFonts w:ascii="黑体" w:hAnsi="黑体" w:eastAsia="黑体"/>
                <w:highlight w:val="none"/>
              </w:rPr>
            </w:pPr>
            <w:r>
              <w:rPr>
                <w:rFonts w:ascii="黑体" w:hAnsi="黑体" w:eastAsia="黑体"/>
                <w:kern w:val="0"/>
                <w:sz w:val="20"/>
                <w:szCs w:val="20"/>
                <w:highlight w:val="none"/>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775C9BF0">
            <w:pPr>
              <w:widowControl/>
              <w:ind w:left="-132" w:leftChars="-60" w:right="-143" w:rightChars="-65"/>
              <w:jc w:val="center"/>
              <w:rPr>
                <w:rFonts w:ascii="黑体" w:hAnsi="黑体" w:eastAsia="黑体"/>
                <w:kern w:val="0"/>
                <w:sz w:val="20"/>
                <w:szCs w:val="20"/>
                <w:highlight w:val="none"/>
              </w:rPr>
            </w:pPr>
            <w:r>
              <w:rPr>
                <w:rFonts w:ascii="黑体" w:hAnsi="黑体" w:eastAsia="黑体"/>
                <w:kern w:val="0"/>
                <w:sz w:val="20"/>
                <w:szCs w:val="20"/>
                <w:highlight w:val="none"/>
              </w:rPr>
              <w:t>其他</w:t>
            </w:r>
          </w:p>
          <w:p w14:paraId="6225A1F4">
            <w:pPr>
              <w:widowControl/>
              <w:ind w:left="-132" w:leftChars="-60" w:right="-143" w:rightChars="-65"/>
              <w:jc w:val="center"/>
              <w:rPr>
                <w:rFonts w:ascii="黑体" w:hAnsi="黑体" w:eastAsia="黑体"/>
                <w:highlight w:val="none"/>
              </w:rPr>
            </w:pPr>
            <w:r>
              <w:rPr>
                <w:rFonts w:ascii="黑体" w:hAnsi="黑体" w:eastAsia="黑体"/>
                <w:kern w:val="0"/>
                <w:sz w:val="20"/>
                <w:szCs w:val="20"/>
                <w:highlight w:val="none"/>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20435BB7">
            <w:pPr>
              <w:widowControl/>
              <w:ind w:left="-172" w:leftChars="-78" w:right="-161" w:rightChars="-73"/>
              <w:jc w:val="center"/>
              <w:rPr>
                <w:rFonts w:ascii="黑体" w:hAnsi="黑体" w:eastAsia="黑体"/>
                <w:kern w:val="0"/>
                <w:sz w:val="20"/>
                <w:szCs w:val="20"/>
                <w:highlight w:val="none"/>
              </w:rPr>
            </w:pPr>
            <w:r>
              <w:rPr>
                <w:rFonts w:ascii="黑体" w:hAnsi="黑体" w:eastAsia="黑体"/>
                <w:kern w:val="0"/>
                <w:sz w:val="20"/>
                <w:szCs w:val="20"/>
                <w:highlight w:val="none"/>
              </w:rPr>
              <w:t>尚未</w:t>
            </w:r>
          </w:p>
          <w:p w14:paraId="42D65994">
            <w:pPr>
              <w:widowControl/>
              <w:ind w:left="-172" w:leftChars="-78" w:right="-161" w:rightChars="-73"/>
              <w:jc w:val="center"/>
              <w:rPr>
                <w:rFonts w:ascii="黑体" w:hAnsi="黑体" w:eastAsia="黑体"/>
                <w:highlight w:val="none"/>
              </w:rPr>
            </w:pPr>
            <w:r>
              <w:rPr>
                <w:rFonts w:ascii="黑体" w:hAnsi="黑体" w:eastAsia="黑体"/>
                <w:kern w:val="0"/>
                <w:sz w:val="20"/>
                <w:szCs w:val="20"/>
                <w:highlight w:val="none"/>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9A5ED4E">
            <w:pPr>
              <w:widowControl/>
              <w:jc w:val="center"/>
              <w:rPr>
                <w:rFonts w:ascii="黑体" w:hAnsi="黑体" w:eastAsia="黑体"/>
                <w:highlight w:val="none"/>
              </w:rPr>
            </w:pPr>
            <w:r>
              <w:rPr>
                <w:rFonts w:ascii="黑体" w:hAnsi="黑体" w:eastAsia="黑体"/>
                <w:kern w:val="0"/>
                <w:sz w:val="20"/>
                <w:szCs w:val="20"/>
                <w:highlight w:val="none"/>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2B8CE3F">
            <w:pPr>
              <w:widowControl/>
              <w:ind w:left="-103" w:leftChars="-47" w:right="-81" w:rightChars="-37"/>
              <w:jc w:val="center"/>
              <w:rPr>
                <w:rFonts w:ascii="黑体" w:hAnsi="黑体" w:eastAsia="黑体"/>
                <w:highlight w:val="none"/>
              </w:rPr>
            </w:pPr>
            <w:r>
              <w:rPr>
                <w:rFonts w:ascii="黑体" w:hAnsi="黑体" w:eastAsia="黑体"/>
                <w:kern w:val="0"/>
                <w:sz w:val="20"/>
                <w:szCs w:val="20"/>
                <w:highlight w:val="none"/>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684FDE7A">
            <w:pPr>
              <w:widowControl/>
              <w:ind w:left="-143" w:leftChars="-65" w:right="-130" w:rightChars="-59"/>
              <w:jc w:val="center"/>
              <w:rPr>
                <w:rFonts w:ascii="黑体" w:hAnsi="黑体" w:eastAsia="黑体"/>
                <w:kern w:val="0"/>
                <w:sz w:val="20"/>
                <w:szCs w:val="20"/>
                <w:highlight w:val="none"/>
              </w:rPr>
            </w:pPr>
            <w:r>
              <w:rPr>
                <w:rFonts w:ascii="黑体" w:hAnsi="黑体" w:eastAsia="黑体"/>
                <w:kern w:val="0"/>
                <w:sz w:val="20"/>
                <w:szCs w:val="20"/>
                <w:highlight w:val="none"/>
              </w:rPr>
              <w:t>结果</w:t>
            </w:r>
          </w:p>
          <w:p w14:paraId="73308444">
            <w:pPr>
              <w:widowControl/>
              <w:ind w:left="-143" w:leftChars="-65" w:right="-130" w:rightChars="-59"/>
              <w:jc w:val="center"/>
              <w:rPr>
                <w:rFonts w:ascii="黑体" w:hAnsi="黑体" w:eastAsia="黑体"/>
                <w:highlight w:val="none"/>
              </w:rPr>
            </w:pPr>
            <w:r>
              <w:rPr>
                <w:rFonts w:ascii="黑体" w:hAnsi="黑体" w:eastAsia="黑体"/>
                <w:kern w:val="0"/>
                <w:sz w:val="20"/>
                <w:szCs w:val="20"/>
                <w:highlight w:val="none"/>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14:paraId="36F7C3E4">
            <w:pPr>
              <w:widowControl/>
              <w:ind w:left="-182" w:leftChars="-83" w:right="-141" w:rightChars="-64" w:hanging="1"/>
              <w:jc w:val="center"/>
              <w:rPr>
                <w:rFonts w:ascii="黑体" w:hAnsi="黑体" w:eastAsia="黑体"/>
                <w:kern w:val="0"/>
                <w:sz w:val="20"/>
                <w:szCs w:val="20"/>
                <w:highlight w:val="none"/>
              </w:rPr>
            </w:pPr>
            <w:r>
              <w:rPr>
                <w:rFonts w:ascii="黑体" w:hAnsi="黑体" w:eastAsia="黑体"/>
                <w:kern w:val="0"/>
                <w:sz w:val="20"/>
                <w:szCs w:val="20"/>
                <w:highlight w:val="none"/>
              </w:rPr>
              <w:t>其他</w:t>
            </w:r>
          </w:p>
          <w:p w14:paraId="75848741">
            <w:pPr>
              <w:widowControl/>
              <w:ind w:left="-182" w:leftChars="-83" w:right="-141" w:rightChars="-64" w:hanging="1"/>
              <w:jc w:val="center"/>
              <w:rPr>
                <w:rFonts w:ascii="黑体" w:hAnsi="黑体" w:eastAsia="黑体"/>
                <w:highlight w:val="none"/>
              </w:rPr>
            </w:pPr>
            <w:r>
              <w:rPr>
                <w:rFonts w:ascii="黑体" w:hAnsi="黑体" w:eastAsia="黑体"/>
                <w:kern w:val="0"/>
                <w:sz w:val="20"/>
                <w:szCs w:val="20"/>
                <w:highlight w:val="none"/>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A592768">
            <w:pPr>
              <w:widowControl/>
              <w:ind w:left="-71" w:leftChars="-33" w:right="-110" w:rightChars="-50" w:hanging="2" w:hangingChars="1"/>
              <w:jc w:val="center"/>
              <w:rPr>
                <w:rFonts w:ascii="黑体" w:hAnsi="黑体" w:eastAsia="黑体"/>
                <w:highlight w:val="none"/>
              </w:rPr>
            </w:pPr>
            <w:r>
              <w:rPr>
                <w:rFonts w:ascii="黑体" w:hAnsi="黑体" w:eastAsia="黑体"/>
                <w:kern w:val="0"/>
                <w:sz w:val="20"/>
                <w:szCs w:val="20"/>
                <w:highlight w:val="none"/>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14:paraId="43E06189">
            <w:pPr>
              <w:widowControl/>
              <w:jc w:val="center"/>
              <w:rPr>
                <w:rFonts w:ascii="黑体" w:hAnsi="黑体" w:eastAsia="黑体"/>
                <w:highlight w:val="none"/>
              </w:rPr>
            </w:pPr>
            <w:r>
              <w:rPr>
                <w:rFonts w:ascii="黑体" w:hAnsi="黑体" w:eastAsia="黑体"/>
                <w:kern w:val="0"/>
                <w:sz w:val="20"/>
                <w:szCs w:val="20"/>
                <w:highlight w:val="none"/>
              </w:rPr>
              <w:t>总计</w:t>
            </w:r>
          </w:p>
        </w:tc>
      </w:tr>
      <w:tr w14:paraId="45D4A6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0709C34">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38466D60">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7D315E48">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081EFB31">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14:paraId="2378DF85">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14:paraId="2E343532">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66DFA87C">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53AE10A3">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E88EDFA">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2B39D5AF">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1CD5EE9F">
            <w:pPr>
              <w:widowControl/>
              <w:spacing w:after="180"/>
              <w:rPr>
                <w:rFonts w:hint="eastAsia" w:ascii="Times New Roman" w:hAnsi="Times New Roman" w:eastAsia="宋体"/>
                <w:highlight w:val="none"/>
                <w:lang w:val="en-US" w:eastAsia="zh-CN"/>
              </w:rPr>
            </w:pPr>
            <w:r>
              <w:rPr>
                <w:rFonts w:hint="eastAsia"/>
                <w:highlight w:val="none"/>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08BA300">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1EE47BD8">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5F4AED43">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64CE5D30">
            <w:pPr>
              <w:widowControl/>
              <w:spacing w:after="180"/>
              <w:jc w:val="center"/>
              <w:rPr>
                <w:rFonts w:hint="eastAsia" w:ascii="Times New Roman" w:hAnsi="Times New Roman" w:eastAsia="宋体"/>
                <w:highlight w:val="none"/>
                <w:lang w:val="en-US" w:eastAsia="zh-CN"/>
              </w:rPr>
            </w:pPr>
            <w:r>
              <w:rPr>
                <w:rFonts w:hint="eastAsia"/>
                <w:highlight w:val="none"/>
                <w:lang w:val="en-US" w:eastAsia="zh-CN"/>
              </w:rPr>
              <w:t>0</w:t>
            </w:r>
          </w:p>
        </w:tc>
      </w:tr>
    </w:tbl>
    <w:p w14:paraId="00FE39F9">
      <w:pPr>
        <w:pStyle w:val="5"/>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宋体"/>
          <w:color w:val="000000"/>
          <w:sz w:val="32"/>
          <w:szCs w:val="32"/>
          <w:highlight w:val="none"/>
          <w:lang w:val="en-US" w:eastAsia="zh-CN"/>
        </w:rPr>
      </w:pPr>
      <w:r>
        <w:rPr>
          <w:rFonts w:hint="eastAsia" w:ascii="黑体" w:hAnsi="黑体" w:eastAsia="黑体" w:cs="宋体"/>
          <w:color w:val="000000"/>
          <w:sz w:val="32"/>
          <w:szCs w:val="32"/>
          <w:highlight w:val="none"/>
          <w:lang w:val="en-US" w:eastAsia="zh-CN"/>
        </w:rPr>
        <w:t>五、存在的主要问题及改进情况</w:t>
      </w:r>
    </w:p>
    <w:p w14:paraId="5926E213">
      <w:pPr>
        <w:pStyle w:val="5"/>
        <w:widowControl/>
        <w:spacing w:beforeAutospacing="0" w:afterAutospacing="0" w:line="600" w:lineRule="exact"/>
        <w:ind w:firstLine="555"/>
        <w:jc w:val="both"/>
        <w:rPr>
          <w:rFonts w:hint="eastAsia" w:ascii="楷体_GB2312" w:hAnsi="楷体_GB2312" w:eastAsia="楷体_GB2312" w:cs="楷体_GB2312"/>
          <w:color w:val="000000"/>
          <w:sz w:val="32"/>
          <w:szCs w:val="32"/>
          <w:highlight w:val="none"/>
        </w:rPr>
      </w:pPr>
      <w:r>
        <w:rPr>
          <w:rFonts w:hint="eastAsia" w:ascii="楷体_GB2312" w:hAnsi="楷体_GB2312" w:eastAsia="楷体_GB2312" w:cs="楷体_GB2312"/>
          <w:color w:val="000000"/>
          <w:sz w:val="32"/>
          <w:szCs w:val="32"/>
          <w:highlight w:val="none"/>
        </w:rPr>
        <w:t>（一）</w:t>
      </w:r>
      <w:r>
        <w:rPr>
          <w:rFonts w:hint="eastAsia" w:ascii="楷体_GB2312" w:hAnsi="楷体_GB2312" w:eastAsia="楷体_GB2312" w:cs="楷体_GB2312"/>
          <w:color w:val="000000"/>
          <w:sz w:val="32"/>
          <w:szCs w:val="32"/>
          <w:highlight w:val="none"/>
          <w:lang w:val="en-US" w:eastAsia="zh-CN"/>
        </w:rPr>
        <w:t>存在</w:t>
      </w:r>
      <w:r>
        <w:rPr>
          <w:rFonts w:hint="eastAsia" w:ascii="楷体_GB2312" w:hAnsi="楷体_GB2312" w:eastAsia="楷体_GB2312" w:cs="楷体_GB2312"/>
          <w:color w:val="000000"/>
          <w:sz w:val="32"/>
          <w:szCs w:val="32"/>
          <w:highlight w:val="none"/>
        </w:rPr>
        <w:t>问题</w:t>
      </w:r>
    </w:p>
    <w:p w14:paraId="536A3301">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lang w:val="en-US" w:eastAsia="zh-CN"/>
        </w:rPr>
        <w:t>现存的主要问题是</w:t>
      </w:r>
      <w:r>
        <w:rPr>
          <w:rFonts w:hint="eastAsia" w:ascii="仿宋_GB2312" w:hAnsi="Arial" w:eastAsia="仿宋_GB2312" w:cs="Arial"/>
          <w:color w:val="000000"/>
          <w:sz w:val="32"/>
          <w:szCs w:val="32"/>
          <w:highlight w:val="none"/>
        </w:rPr>
        <w:t>公开平台的建设尚待强化；公开形式显得较为单一，需加大政务公开的创新力度</w:t>
      </w:r>
      <w:r>
        <w:rPr>
          <w:rFonts w:hint="eastAsia" w:ascii="仿宋_GB2312" w:hAnsi="Arial" w:eastAsia="仿宋_GB2312" w:cs="Arial"/>
          <w:color w:val="000000"/>
          <w:sz w:val="32"/>
          <w:szCs w:val="32"/>
          <w:highlight w:val="none"/>
          <w:lang w:eastAsia="zh-CN"/>
        </w:rPr>
        <w:t>；</w:t>
      </w:r>
      <w:r>
        <w:rPr>
          <w:rFonts w:hint="eastAsia" w:ascii="仿宋_GB2312" w:hAnsi="Arial" w:eastAsia="仿宋_GB2312" w:cs="Arial"/>
          <w:color w:val="000000"/>
          <w:sz w:val="32"/>
          <w:szCs w:val="32"/>
          <w:highlight w:val="none"/>
        </w:rPr>
        <w:t>公开内容的深度和广度均未达到理想状态，有待拓展。</w:t>
      </w:r>
    </w:p>
    <w:p w14:paraId="59681F2E">
      <w:pPr>
        <w:pStyle w:val="5"/>
        <w:widowControl/>
        <w:spacing w:beforeAutospacing="0" w:afterAutospacing="0" w:line="600" w:lineRule="exact"/>
        <w:ind w:firstLine="555"/>
        <w:jc w:val="both"/>
        <w:rPr>
          <w:rFonts w:hint="default" w:ascii="楷体_GB2312" w:hAnsi="楷体_GB2312" w:eastAsia="楷体_GB2312" w:cs="楷体_GB2312"/>
          <w:color w:val="000000"/>
          <w:sz w:val="32"/>
          <w:szCs w:val="32"/>
          <w:highlight w:val="none"/>
          <w:lang w:val="en-US" w:eastAsia="zh-CN"/>
        </w:rPr>
      </w:pPr>
      <w:r>
        <w:rPr>
          <w:rFonts w:hint="eastAsia" w:ascii="楷体_GB2312" w:hAnsi="楷体_GB2312" w:eastAsia="楷体_GB2312" w:cs="楷体_GB2312"/>
          <w:color w:val="000000"/>
          <w:sz w:val="32"/>
          <w:szCs w:val="32"/>
          <w:highlight w:val="none"/>
        </w:rPr>
        <w:t>（二）</w:t>
      </w:r>
      <w:r>
        <w:rPr>
          <w:rFonts w:hint="eastAsia" w:ascii="楷体_GB2312" w:hAnsi="楷体_GB2312" w:eastAsia="楷体_GB2312" w:cs="楷体_GB2312"/>
          <w:color w:val="000000"/>
          <w:sz w:val="32"/>
          <w:szCs w:val="32"/>
          <w:highlight w:val="none"/>
          <w:lang w:val="en-US" w:eastAsia="zh-CN"/>
        </w:rPr>
        <w:t>改进情况</w:t>
      </w:r>
    </w:p>
    <w:p w14:paraId="192E6914">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rPr>
        <w:t>首先，强化管理机制，明确责任归属。具体举措包括：严格执行相关制度，加大日常监督与定期检查的力度，并将监督检查结果与机关作风效能建设考核相挂钩。同时，细化分工，确保责任到人，推动公开平台建设向标准化、规范化迈进，以更好地契合公众需求。</w:t>
      </w:r>
    </w:p>
    <w:p w14:paraId="1BDC53FD">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rPr>
        <w:t>其次，致力于丰富公开形式，勇于实践创新。在政府信息公开中，将更多地采用图解、视频等直观、生动的方式，提升信息的可视性、可读性和感知度。此外，深化政务公开与</w:t>
      </w:r>
      <w:r>
        <w:rPr>
          <w:rFonts w:hint="eastAsia" w:ascii="仿宋_GB2312" w:hAnsi="Arial" w:eastAsia="仿宋_GB2312" w:cs="Arial"/>
          <w:color w:val="000000"/>
          <w:sz w:val="32"/>
          <w:szCs w:val="32"/>
          <w:highlight w:val="none"/>
          <w:lang w:val="en-US" w:eastAsia="zh-CN"/>
        </w:rPr>
        <w:t>数字乡村</w:t>
      </w:r>
      <w:r>
        <w:rPr>
          <w:rFonts w:hint="eastAsia" w:ascii="仿宋_GB2312" w:hAnsi="Arial" w:eastAsia="仿宋_GB2312" w:cs="Arial"/>
          <w:color w:val="000000"/>
          <w:sz w:val="32"/>
          <w:szCs w:val="32"/>
          <w:highlight w:val="none"/>
        </w:rPr>
        <w:t>工作的融合，紧密围绕社会热点难点问题，推动政务公开工作不断取得新的创新成果。</w:t>
      </w:r>
    </w:p>
    <w:p w14:paraId="746CA4B9">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rPr>
        <w:t>最后，加强学习，加大公开力度。认真梳理并细化政府信息栏目，进一步扩大公开内容的范围，不断完善政府信息公开目录。同时，通</w:t>
      </w:r>
      <w:bookmarkStart w:id="10" w:name="_GoBack"/>
      <w:bookmarkEnd w:id="10"/>
      <w:r>
        <w:rPr>
          <w:rFonts w:hint="eastAsia" w:ascii="仿宋_GB2312" w:hAnsi="Arial" w:eastAsia="仿宋_GB2312" w:cs="Arial"/>
          <w:color w:val="000000"/>
          <w:sz w:val="32"/>
          <w:szCs w:val="32"/>
          <w:highlight w:val="none"/>
        </w:rPr>
        <w:t>过组织政务公开专题培训会、反思研讨会等活动，深入学习并贯彻落实政务公开相关政策要求，不断提升业务能力和服务水平。</w:t>
      </w:r>
    </w:p>
    <w:p w14:paraId="7BF32A54">
      <w:pPr>
        <w:shd w:val="clear" w:color="auto" w:fill="FFFFFF"/>
        <w:adjustRightInd/>
        <w:snapToGrid/>
        <w:spacing w:after="0" w:line="560" w:lineRule="exact"/>
        <w:ind w:firstLine="640" w:firstLineChars="200"/>
        <w:jc w:val="both"/>
        <w:rPr>
          <w:rFonts w:ascii="宋体" w:hAnsi="宋体" w:eastAsia="宋体" w:cs="宋体"/>
          <w:color w:val="000000"/>
          <w:sz w:val="32"/>
          <w:szCs w:val="32"/>
          <w:highlight w:val="none"/>
        </w:rPr>
      </w:pPr>
      <w:r>
        <w:rPr>
          <w:rFonts w:hint="eastAsia" w:ascii="黑体" w:hAnsi="黑体" w:eastAsia="黑体" w:cs="宋体"/>
          <w:color w:val="000000"/>
          <w:sz w:val="32"/>
          <w:szCs w:val="32"/>
          <w:highlight w:val="none"/>
        </w:rPr>
        <w:t>六、其他需要报告的事项</w:t>
      </w:r>
    </w:p>
    <w:p w14:paraId="558B8F9F">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rPr>
        <w:t>1、202</w:t>
      </w:r>
      <w:r>
        <w:rPr>
          <w:rFonts w:hint="eastAsia" w:ascii="仿宋_GB2312" w:hAnsi="Arial" w:eastAsia="仿宋_GB2312" w:cs="Arial"/>
          <w:color w:val="000000"/>
          <w:sz w:val="32"/>
          <w:szCs w:val="32"/>
          <w:highlight w:val="none"/>
          <w:lang w:val="en-US" w:eastAsia="zh-CN"/>
        </w:rPr>
        <w:t>4</w:t>
      </w:r>
      <w:r>
        <w:rPr>
          <w:rFonts w:hint="eastAsia" w:ascii="仿宋_GB2312" w:hAnsi="Arial" w:eastAsia="仿宋_GB2312" w:cs="Arial"/>
          <w:color w:val="000000"/>
          <w:sz w:val="32"/>
          <w:szCs w:val="32"/>
          <w:highlight w:val="none"/>
        </w:rPr>
        <w:t>年度未收取政府信息公开信息处理费。</w:t>
      </w:r>
    </w:p>
    <w:p w14:paraId="5F6C3B9B">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rPr>
        <w:t>2、202</w:t>
      </w:r>
      <w:r>
        <w:rPr>
          <w:rFonts w:hint="eastAsia" w:ascii="仿宋_GB2312" w:hAnsi="Arial" w:eastAsia="仿宋_GB2312" w:cs="Arial"/>
          <w:color w:val="000000"/>
          <w:sz w:val="32"/>
          <w:szCs w:val="32"/>
          <w:highlight w:val="none"/>
          <w:lang w:val="en-US" w:eastAsia="zh-CN"/>
        </w:rPr>
        <w:t>4</w:t>
      </w:r>
      <w:r>
        <w:rPr>
          <w:rFonts w:hint="eastAsia" w:ascii="仿宋_GB2312" w:hAnsi="Arial" w:eastAsia="仿宋_GB2312" w:cs="Arial"/>
          <w:color w:val="000000"/>
          <w:sz w:val="32"/>
          <w:szCs w:val="32"/>
          <w:highlight w:val="none"/>
        </w:rPr>
        <w:t>年</w:t>
      </w:r>
      <w:r>
        <w:rPr>
          <w:rFonts w:hint="eastAsia" w:ascii="仿宋_GB2312" w:hAnsi="Arial" w:eastAsia="仿宋_GB2312" w:cs="Arial"/>
          <w:color w:val="000000"/>
          <w:sz w:val="32"/>
          <w:szCs w:val="32"/>
          <w:highlight w:val="none"/>
          <w:lang w:eastAsia="zh-CN"/>
        </w:rPr>
        <w:t>，</w:t>
      </w:r>
      <w:r>
        <w:rPr>
          <w:rFonts w:hint="eastAsia" w:ascii="仿宋_GB2312" w:hAnsi="Arial" w:eastAsia="仿宋_GB2312" w:cs="Arial"/>
          <w:color w:val="000000"/>
          <w:sz w:val="32"/>
          <w:szCs w:val="32"/>
          <w:highlight w:val="none"/>
        </w:rPr>
        <w:t>柴胡店镇</w:t>
      </w:r>
      <w:r>
        <w:rPr>
          <w:rFonts w:hint="eastAsia" w:ascii="仿宋_GB2312" w:hAnsi="Arial" w:eastAsia="仿宋_GB2312" w:cs="Arial"/>
          <w:color w:val="000000"/>
          <w:sz w:val="32"/>
          <w:szCs w:val="32"/>
          <w:highlight w:val="none"/>
          <w:lang w:eastAsia="zh-CN"/>
        </w:rPr>
        <w:t>严格按照上级年度政务公开工作要点，扎</w:t>
      </w:r>
      <w:r>
        <w:rPr>
          <w:rFonts w:hint="eastAsia" w:ascii="仿宋_GB2312" w:hAnsi="Arial" w:eastAsia="仿宋_GB2312" w:cs="Arial"/>
          <w:color w:val="000000"/>
          <w:sz w:val="32"/>
          <w:szCs w:val="32"/>
          <w:highlight w:val="none"/>
        </w:rPr>
        <w:t>实做好平台建设，切实推进政务公开制度化规范化，制定了政务公开工作年度计划，定期进行跟踪问效，各项任务落细落实</w:t>
      </w:r>
      <w:r>
        <w:rPr>
          <w:rFonts w:hint="eastAsia" w:ascii="仿宋_GB2312" w:hAnsi="Arial" w:eastAsia="仿宋_GB2312" w:cs="Arial"/>
          <w:color w:val="000000"/>
          <w:sz w:val="32"/>
          <w:szCs w:val="32"/>
          <w:highlight w:val="none"/>
          <w:lang w:eastAsia="zh-CN"/>
        </w:rPr>
        <w:t>，确保政务公开工作提质增效</w:t>
      </w:r>
      <w:r>
        <w:rPr>
          <w:rFonts w:hint="eastAsia" w:ascii="仿宋_GB2312" w:hAnsi="Arial" w:eastAsia="仿宋_GB2312" w:cs="Arial"/>
          <w:color w:val="000000"/>
          <w:sz w:val="32"/>
          <w:szCs w:val="32"/>
          <w:highlight w:val="none"/>
        </w:rPr>
        <w:t>。</w:t>
      </w:r>
    </w:p>
    <w:p w14:paraId="397F5599">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rPr>
        <w:t>3、202</w:t>
      </w:r>
      <w:r>
        <w:rPr>
          <w:rFonts w:hint="eastAsia" w:ascii="仿宋_GB2312" w:hAnsi="Arial" w:eastAsia="仿宋_GB2312" w:cs="Arial"/>
          <w:color w:val="000000"/>
          <w:sz w:val="32"/>
          <w:szCs w:val="32"/>
          <w:highlight w:val="none"/>
          <w:lang w:val="en-US" w:eastAsia="zh-CN"/>
        </w:rPr>
        <w:t>4</w:t>
      </w:r>
      <w:r>
        <w:rPr>
          <w:rFonts w:hint="eastAsia" w:ascii="仿宋_GB2312" w:hAnsi="Arial" w:eastAsia="仿宋_GB2312" w:cs="Arial"/>
          <w:color w:val="000000"/>
          <w:sz w:val="32"/>
          <w:szCs w:val="32"/>
          <w:highlight w:val="none"/>
        </w:rPr>
        <w:t>年度柴胡店镇未办理人大建议和政协提案。</w:t>
      </w:r>
    </w:p>
    <w:p w14:paraId="28069F0A">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rPr>
        <w:t>4、202</w:t>
      </w:r>
      <w:r>
        <w:rPr>
          <w:rFonts w:hint="eastAsia" w:ascii="仿宋_GB2312" w:hAnsi="Arial" w:eastAsia="仿宋_GB2312" w:cs="Arial"/>
          <w:color w:val="000000"/>
          <w:sz w:val="32"/>
          <w:szCs w:val="32"/>
          <w:highlight w:val="none"/>
          <w:lang w:val="en-US" w:eastAsia="zh-CN"/>
        </w:rPr>
        <w:t>4</w:t>
      </w:r>
      <w:r>
        <w:rPr>
          <w:rFonts w:hint="eastAsia" w:ascii="仿宋_GB2312" w:hAnsi="Arial" w:eastAsia="仿宋_GB2312" w:cs="Arial"/>
          <w:color w:val="000000"/>
          <w:sz w:val="32"/>
          <w:szCs w:val="32"/>
          <w:highlight w:val="none"/>
        </w:rPr>
        <w:t>年8月23日，柴胡店镇在便民服务大厅成功举办了政府开放日活动。此次活动旨在通过收集群众反馈以及自我审视的方式，不断发掘存在的问题、弥补服务中的短板，并强化薄弱环节，从而有力推动政务服务水平向高质量方向发展。</w:t>
      </w:r>
    </w:p>
    <w:p w14:paraId="757B9EFA">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rPr>
        <w:t>5、本年度政府信息公开年报中的数据真实可查。</w:t>
      </w:r>
    </w:p>
    <w:p w14:paraId="7AC25952">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Arial" w:eastAsia="仿宋_GB2312" w:cs="Arial"/>
          <w:color w:val="000000"/>
          <w:sz w:val="32"/>
          <w:szCs w:val="32"/>
          <w:highlight w:val="none"/>
        </w:rPr>
      </w:pPr>
      <w:r>
        <w:rPr>
          <w:rFonts w:hint="eastAsia" w:ascii="仿宋_GB2312" w:hAnsi="Arial" w:eastAsia="仿宋_GB2312" w:cs="Arial"/>
          <w:color w:val="000000"/>
          <w:sz w:val="32"/>
          <w:szCs w:val="32"/>
          <w:highlight w:val="none"/>
          <w:lang w:eastAsia="zh-CN"/>
        </w:rPr>
        <w:t>本报告的电子版可在“中国滕州网”网站查询和下载。</w:t>
      </w:r>
      <w:r>
        <w:rPr>
          <w:rFonts w:hint="eastAsia" w:ascii="仿宋_GB2312" w:hAnsi="Arial" w:eastAsia="仿宋_GB2312" w:cs="Arial"/>
          <w:color w:val="000000"/>
          <w:sz w:val="32"/>
          <w:szCs w:val="32"/>
          <w:highlight w:val="none"/>
        </w:rPr>
        <w:t>如对本报告有任何疑问，请与柴胡店镇人民政府联系</w:t>
      </w:r>
      <w:r>
        <w:rPr>
          <w:rFonts w:hint="eastAsia" w:ascii="仿宋_GB2312" w:hAnsi="Arial" w:eastAsia="仿宋_GB2312" w:cs="Arial"/>
          <w:color w:val="000000"/>
          <w:sz w:val="32"/>
          <w:szCs w:val="32"/>
          <w:highlight w:val="none"/>
          <w:lang w:eastAsia="zh-CN"/>
        </w:rPr>
        <w:t>。（地址：山东省</w:t>
      </w:r>
      <w:r>
        <w:rPr>
          <w:rFonts w:hint="eastAsia" w:ascii="仿宋_GB2312" w:hAnsi="Arial" w:eastAsia="仿宋_GB2312" w:cs="Arial"/>
          <w:color w:val="000000"/>
          <w:sz w:val="32"/>
          <w:szCs w:val="32"/>
          <w:highlight w:val="none"/>
        </w:rPr>
        <w:t>滕州市</w:t>
      </w:r>
      <w:r>
        <w:rPr>
          <w:rFonts w:hint="eastAsia" w:ascii="仿宋_GB2312" w:hAnsi="Arial" w:eastAsia="仿宋_GB2312" w:cs="Arial"/>
          <w:color w:val="000000"/>
          <w:sz w:val="32"/>
          <w:szCs w:val="32"/>
          <w:highlight w:val="none"/>
          <w:lang w:val="en-US" w:eastAsia="zh-CN"/>
        </w:rPr>
        <w:t>柴胡店</w:t>
      </w:r>
      <w:r>
        <w:rPr>
          <w:rFonts w:hint="eastAsia" w:ascii="仿宋_GB2312" w:hAnsi="Arial" w:eastAsia="仿宋_GB2312" w:cs="Arial"/>
          <w:color w:val="000000"/>
          <w:sz w:val="32"/>
          <w:szCs w:val="32"/>
          <w:highlight w:val="none"/>
        </w:rPr>
        <w:t>镇驻地</w:t>
      </w:r>
      <w:r>
        <w:rPr>
          <w:rFonts w:hint="eastAsia" w:ascii="仿宋_GB2312" w:hAnsi="Arial" w:eastAsia="仿宋_GB2312" w:cs="Arial"/>
          <w:color w:val="000000"/>
          <w:sz w:val="32"/>
          <w:szCs w:val="32"/>
          <w:highlight w:val="none"/>
          <w:lang w:eastAsia="zh-CN"/>
        </w:rPr>
        <w:t>，邮编：</w:t>
      </w:r>
      <w:r>
        <w:rPr>
          <w:rFonts w:hint="eastAsia" w:ascii="仿宋_GB2312" w:hAnsi="Arial" w:eastAsia="仿宋_GB2312" w:cs="Arial"/>
          <w:color w:val="000000"/>
          <w:sz w:val="32"/>
          <w:szCs w:val="32"/>
          <w:highlight w:val="none"/>
        </w:rPr>
        <w:t>277525</w:t>
      </w:r>
      <w:r>
        <w:rPr>
          <w:rFonts w:hint="eastAsia" w:ascii="仿宋_GB2312" w:hAnsi="Arial" w:eastAsia="仿宋_GB2312" w:cs="Arial"/>
          <w:color w:val="000000"/>
          <w:sz w:val="32"/>
          <w:szCs w:val="32"/>
          <w:highlight w:val="none"/>
          <w:lang w:eastAsia="zh-CN"/>
        </w:rPr>
        <w:t>，联系电话：</w:t>
      </w:r>
      <w:r>
        <w:rPr>
          <w:rFonts w:hint="eastAsia" w:ascii="仿宋_GB2312" w:hAnsi="Arial" w:eastAsia="仿宋_GB2312" w:cs="Arial"/>
          <w:color w:val="000000"/>
          <w:sz w:val="32"/>
          <w:szCs w:val="32"/>
          <w:highlight w:val="none"/>
        </w:rPr>
        <w:t>0632-</w:t>
      </w:r>
      <w:r>
        <w:rPr>
          <w:rFonts w:hint="eastAsia" w:ascii="仿宋_GB2312" w:hAnsi="Arial" w:eastAsia="仿宋_GB2312" w:cs="Arial"/>
          <w:color w:val="000000"/>
          <w:sz w:val="32"/>
          <w:szCs w:val="32"/>
          <w:highlight w:val="none"/>
          <w:lang w:val="en-US" w:eastAsia="zh-CN"/>
        </w:rPr>
        <w:t>2205128</w:t>
      </w:r>
      <w:r>
        <w:rPr>
          <w:rFonts w:hint="eastAsia" w:ascii="仿宋_GB2312" w:hAnsi="Arial" w:eastAsia="仿宋_GB2312" w:cs="Arial"/>
          <w:color w:val="000000"/>
          <w:sz w:val="32"/>
          <w:szCs w:val="32"/>
          <w:highlight w:val="none"/>
          <w:lang w:eastAsia="zh-CN"/>
        </w:rPr>
        <w:t>；电子邮箱：</w:t>
      </w:r>
      <w:r>
        <w:rPr>
          <w:rFonts w:hint="eastAsia" w:ascii="仿宋_GB2312" w:hAnsi="Arial" w:eastAsia="仿宋_GB2312" w:cs="Arial"/>
          <w:color w:val="000000"/>
          <w:sz w:val="32"/>
          <w:szCs w:val="32"/>
          <w:highlight w:val="none"/>
          <w:lang w:val="en-US" w:eastAsia="zh-CN"/>
        </w:rPr>
        <w:t>chdzrmzfadmin@zz.shandong.cn</w:t>
      </w:r>
      <w:r>
        <w:rPr>
          <w:rFonts w:hint="eastAsia" w:ascii="仿宋_GB2312" w:hAnsi="Arial" w:eastAsia="仿宋_GB2312" w:cs="Arial"/>
          <w:color w:val="000000"/>
          <w:sz w:val="32"/>
          <w:szCs w:val="32"/>
          <w:highlight w:val="none"/>
          <w:lang w:eastAsia="zh-CN"/>
        </w:rPr>
        <w:t>）</w:t>
      </w:r>
      <w:r>
        <w:rPr>
          <w:rFonts w:hint="eastAsia" w:ascii="仿宋_GB2312" w:hAnsi="Arial" w:eastAsia="仿宋_GB2312" w:cs="Arial"/>
          <w:color w:val="000000"/>
          <w:sz w:val="32"/>
          <w:szCs w:val="32"/>
          <w:highlight w:val="none"/>
        </w:rPr>
        <w:t xml:space="preserve">                             </w:t>
      </w:r>
    </w:p>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ED66F37-86B6-47A4-99F7-A6FEF848F7E4}"/>
  </w:font>
  <w:font w:name="黑体">
    <w:panose1 w:val="02010609060101010101"/>
    <w:charset w:val="86"/>
    <w:family w:val="auto"/>
    <w:pitch w:val="default"/>
    <w:sig w:usb0="800002BF" w:usb1="38CF7CFA" w:usb2="00000016" w:usb3="00000000" w:csb0="00040001" w:csb1="00000000"/>
    <w:embedRegular r:id="rId2" w:fontKey="{744D6275-AB11-4A02-92FF-A5BA4B85CE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35DC2F8-C343-4361-8087-CC6585EED7C4}"/>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4" w:fontKey="{36C59022-9B7A-4A2D-9A1D-E4CA543BB9D7}"/>
  </w:font>
  <w:font w:name="仿宋_GB2312">
    <w:panose1 w:val="02010609030101010101"/>
    <w:charset w:val="86"/>
    <w:family w:val="modern"/>
    <w:pitch w:val="default"/>
    <w:sig w:usb0="00000001" w:usb1="080E0000" w:usb2="00000000" w:usb3="00000000" w:csb0="00040000" w:csb1="00000000"/>
    <w:embedRegular r:id="rId5" w:fontKey="{27990C75-2FC5-49B5-8A58-43FAE8E5EC9E}"/>
  </w:font>
  <w:font w:name="sans-serif">
    <w:altName w:val="Segoe Print"/>
    <w:panose1 w:val="00000000000000000000"/>
    <w:charset w:val="00"/>
    <w:family w:val="auto"/>
    <w:pitch w:val="default"/>
    <w:sig w:usb0="00000000" w:usb1="00000000" w:usb2="00000000" w:usb3="00000000" w:csb0="00040001" w:csb1="00000000"/>
    <w:embedRegular r:id="rId6" w:fontKey="{33AF1E2C-6C3D-4101-8219-34AE49BF6779}"/>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embedRegular r:id="rId7" w:fontKey="{7B072062-3EC7-4C3A-B0C5-19C8936F68ED}"/>
  </w:font>
  <w:font w:name="楷体">
    <w:panose1 w:val="02010609060101010101"/>
    <w:charset w:val="86"/>
    <w:family w:val="decorative"/>
    <w:pitch w:val="default"/>
    <w:sig w:usb0="800002BF" w:usb1="38CF7CFA" w:usb2="00000016" w:usb3="00000000" w:csb0="00040001" w:csb1="00000000"/>
    <w:embedRegular r:id="rId8" w:fontKey="{5A0E056E-5F5F-465D-AA3A-41F321D88F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8D1C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473A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05473A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094A46"/>
    <w:multiLevelType w:val="singleLevel"/>
    <w:tmpl w:val="FE094A46"/>
    <w:lvl w:ilvl="0" w:tentative="0">
      <w:start w:val="1"/>
      <w:numFmt w:val="chineseCounting"/>
      <w:suff w:val="nothing"/>
      <w:lvlText w:val="%1、"/>
      <w:lvlJc w:val="left"/>
      <w:pPr>
        <w:ind w:left="684"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xNDc0NjVkYTc3YmU3ZTg1OGEzMDcxZDFlNTI5MTUifQ=="/>
  </w:docVars>
  <w:rsids>
    <w:rsidRoot w:val="00D31D50"/>
    <w:rsid w:val="00020BA6"/>
    <w:rsid w:val="00055BB5"/>
    <w:rsid w:val="000C4DDE"/>
    <w:rsid w:val="000F1852"/>
    <w:rsid w:val="0010773E"/>
    <w:rsid w:val="00237DF4"/>
    <w:rsid w:val="002435F9"/>
    <w:rsid w:val="00261465"/>
    <w:rsid w:val="002638F5"/>
    <w:rsid w:val="002648DF"/>
    <w:rsid w:val="002834A9"/>
    <w:rsid w:val="0029643D"/>
    <w:rsid w:val="00296B10"/>
    <w:rsid w:val="002C358A"/>
    <w:rsid w:val="00323B43"/>
    <w:rsid w:val="00357D09"/>
    <w:rsid w:val="003841C9"/>
    <w:rsid w:val="003868F2"/>
    <w:rsid w:val="00392EFD"/>
    <w:rsid w:val="003B27A0"/>
    <w:rsid w:val="003C0C19"/>
    <w:rsid w:val="003C3876"/>
    <w:rsid w:val="003D37D8"/>
    <w:rsid w:val="00426133"/>
    <w:rsid w:val="004358AB"/>
    <w:rsid w:val="00451615"/>
    <w:rsid w:val="0047375D"/>
    <w:rsid w:val="004B04AB"/>
    <w:rsid w:val="004C7704"/>
    <w:rsid w:val="00582F43"/>
    <w:rsid w:val="005A0A21"/>
    <w:rsid w:val="005B4CD0"/>
    <w:rsid w:val="005D6031"/>
    <w:rsid w:val="005F359C"/>
    <w:rsid w:val="00675364"/>
    <w:rsid w:val="00676A97"/>
    <w:rsid w:val="006A6C58"/>
    <w:rsid w:val="006C112B"/>
    <w:rsid w:val="00723B4B"/>
    <w:rsid w:val="00726E08"/>
    <w:rsid w:val="00767AD3"/>
    <w:rsid w:val="007D185D"/>
    <w:rsid w:val="00811AA2"/>
    <w:rsid w:val="00835862"/>
    <w:rsid w:val="00844CA1"/>
    <w:rsid w:val="008452CD"/>
    <w:rsid w:val="008704D1"/>
    <w:rsid w:val="00897EA1"/>
    <w:rsid w:val="008A6EE9"/>
    <w:rsid w:val="008B7726"/>
    <w:rsid w:val="008D0518"/>
    <w:rsid w:val="008D1CD4"/>
    <w:rsid w:val="00922A05"/>
    <w:rsid w:val="00930F25"/>
    <w:rsid w:val="009637B4"/>
    <w:rsid w:val="00975BF4"/>
    <w:rsid w:val="00995DEA"/>
    <w:rsid w:val="009960A0"/>
    <w:rsid w:val="009A648C"/>
    <w:rsid w:val="00A1658E"/>
    <w:rsid w:val="00A21C80"/>
    <w:rsid w:val="00A4747C"/>
    <w:rsid w:val="00A55640"/>
    <w:rsid w:val="00A67CD6"/>
    <w:rsid w:val="00AC2A02"/>
    <w:rsid w:val="00AE0FA3"/>
    <w:rsid w:val="00B0153D"/>
    <w:rsid w:val="00B16869"/>
    <w:rsid w:val="00B75851"/>
    <w:rsid w:val="00B83CAC"/>
    <w:rsid w:val="00B945A0"/>
    <w:rsid w:val="00BC5964"/>
    <w:rsid w:val="00C711FA"/>
    <w:rsid w:val="00CA3825"/>
    <w:rsid w:val="00D23256"/>
    <w:rsid w:val="00D31D50"/>
    <w:rsid w:val="00D74728"/>
    <w:rsid w:val="00D81DA7"/>
    <w:rsid w:val="00D93C04"/>
    <w:rsid w:val="00DE42BF"/>
    <w:rsid w:val="00E07C78"/>
    <w:rsid w:val="00E13ADB"/>
    <w:rsid w:val="00E3540B"/>
    <w:rsid w:val="00E67F2C"/>
    <w:rsid w:val="00E86B3D"/>
    <w:rsid w:val="00EC4C74"/>
    <w:rsid w:val="00F07384"/>
    <w:rsid w:val="00F4609B"/>
    <w:rsid w:val="00F47FF8"/>
    <w:rsid w:val="00F939C5"/>
    <w:rsid w:val="00FC1FB0"/>
    <w:rsid w:val="01213882"/>
    <w:rsid w:val="0353539C"/>
    <w:rsid w:val="04CB5C36"/>
    <w:rsid w:val="051756C8"/>
    <w:rsid w:val="060519C4"/>
    <w:rsid w:val="07585B24"/>
    <w:rsid w:val="08901825"/>
    <w:rsid w:val="08E469B8"/>
    <w:rsid w:val="0BA852CC"/>
    <w:rsid w:val="0C7B478E"/>
    <w:rsid w:val="0D5C636E"/>
    <w:rsid w:val="0E6D0107"/>
    <w:rsid w:val="1767428D"/>
    <w:rsid w:val="189818BE"/>
    <w:rsid w:val="19CA465F"/>
    <w:rsid w:val="1A31728F"/>
    <w:rsid w:val="1AC50C0E"/>
    <w:rsid w:val="1DC72037"/>
    <w:rsid w:val="1FAB6BA6"/>
    <w:rsid w:val="21494A03"/>
    <w:rsid w:val="225D0766"/>
    <w:rsid w:val="26233A75"/>
    <w:rsid w:val="26B71CCE"/>
    <w:rsid w:val="27F545F7"/>
    <w:rsid w:val="28EF7C3E"/>
    <w:rsid w:val="293E0BC6"/>
    <w:rsid w:val="2AED4651"/>
    <w:rsid w:val="2D0D0FDB"/>
    <w:rsid w:val="300A09BF"/>
    <w:rsid w:val="33D12D62"/>
    <w:rsid w:val="35D07049"/>
    <w:rsid w:val="37EE70AB"/>
    <w:rsid w:val="3E9961CA"/>
    <w:rsid w:val="3F280749"/>
    <w:rsid w:val="41D81760"/>
    <w:rsid w:val="44332C7D"/>
    <w:rsid w:val="452A0524"/>
    <w:rsid w:val="49E5118C"/>
    <w:rsid w:val="4A5D4C04"/>
    <w:rsid w:val="4AF313B8"/>
    <w:rsid w:val="4CE70AA9"/>
    <w:rsid w:val="4E740A62"/>
    <w:rsid w:val="50A75D0F"/>
    <w:rsid w:val="52D27A53"/>
    <w:rsid w:val="58597F1C"/>
    <w:rsid w:val="58AD704A"/>
    <w:rsid w:val="5F790216"/>
    <w:rsid w:val="60C018E5"/>
    <w:rsid w:val="60CE4002"/>
    <w:rsid w:val="61C71BFD"/>
    <w:rsid w:val="62BE1BC0"/>
    <w:rsid w:val="635C2947"/>
    <w:rsid w:val="65750EF0"/>
    <w:rsid w:val="68014CBD"/>
    <w:rsid w:val="6A70612A"/>
    <w:rsid w:val="71FC0A11"/>
    <w:rsid w:val="79102FB2"/>
    <w:rsid w:val="79FE2461"/>
    <w:rsid w:val="7BC260B9"/>
    <w:rsid w:val="7C68126E"/>
    <w:rsid w:val="7C694787"/>
    <w:rsid w:val="7D9046C1"/>
    <w:rsid w:val="7E9E4BBC"/>
    <w:rsid w:val="7FEF0841"/>
    <w:rsid w:val="7FF3458E"/>
    <w:rsid w:val="DFD457AE"/>
    <w:rsid w:val="EDFFE3BD"/>
    <w:rsid w:val="FFDF04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pPr>
      <w:spacing w:after="0"/>
    </w:pPr>
    <w:rPr>
      <w:sz w:val="18"/>
      <w:szCs w:val="18"/>
    </w:rPr>
  </w:style>
  <w:style w:type="paragraph" w:styleId="3">
    <w:name w:val="footer"/>
    <w:basedOn w:val="1"/>
    <w:link w:val="13"/>
    <w:semiHidden/>
    <w:unhideWhenUsed/>
    <w:qFormat/>
    <w:uiPriority w:val="99"/>
    <w:pPr>
      <w:tabs>
        <w:tab w:val="center" w:pos="4153"/>
        <w:tab w:val="right" w:pos="8306"/>
      </w:tabs>
    </w:pPr>
    <w:rPr>
      <w:sz w:val="18"/>
      <w:szCs w:val="18"/>
    </w:rPr>
  </w:style>
  <w:style w:type="paragraph" w:styleId="4">
    <w:name w:val="header"/>
    <w:basedOn w:val="1"/>
    <w:link w:val="12"/>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widowControl w:val="0"/>
      <w:adjustRightInd/>
      <w:snapToGrid/>
      <w:spacing w:beforeAutospacing="1" w:after="0" w:afterAutospacing="1" w:line="315" w:lineRule="atLeast"/>
    </w:pPr>
    <w:rPr>
      <w:rFonts w:cs="Times New Roman" w:asciiTheme="minorHAnsi" w:hAnsiTheme="minorHAnsi" w:eastAsiaTheme="minorEastAsia"/>
      <w:sz w:val="24"/>
      <w:szCs w:val="24"/>
    </w:rPr>
  </w:style>
  <w:style w:type="character" w:styleId="8">
    <w:name w:val="Strong"/>
    <w:basedOn w:val="7"/>
    <w:qFormat/>
    <w:uiPriority w:val="22"/>
    <w:rPr>
      <w:b/>
      <w:bCs/>
    </w:rPr>
  </w:style>
  <w:style w:type="character" w:styleId="9">
    <w:name w:val="FollowedHyperlink"/>
    <w:basedOn w:val="7"/>
    <w:semiHidden/>
    <w:unhideWhenUsed/>
    <w:qFormat/>
    <w:uiPriority w:val="99"/>
    <w:rPr>
      <w:color w:val="333333"/>
      <w:u w:val="none"/>
    </w:rPr>
  </w:style>
  <w:style w:type="character" w:styleId="10">
    <w:name w:val="Emphasis"/>
    <w:basedOn w:val="7"/>
    <w:qFormat/>
    <w:uiPriority w:val="20"/>
  </w:style>
  <w:style w:type="character" w:styleId="11">
    <w:name w:val="Hyperlink"/>
    <w:basedOn w:val="7"/>
    <w:semiHidden/>
    <w:unhideWhenUsed/>
    <w:qFormat/>
    <w:uiPriority w:val="99"/>
    <w:rPr>
      <w:color w:val="333333"/>
      <w:u w:val="none"/>
    </w:rPr>
  </w:style>
  <w:style w:type="character" w:customStyle="1" w:styleId="12">
    <w:name w:val="页眉 Char"/>
    <w:basedOn w:val="7"/>
    <w:link w:val="4"/>
    <w:semiHidden/>
    <w:qFormat/>
    <w:uiPriority w:val="99"/>
    <w:rPr>
      <w:rFonts w:ascii="Tahoma" w:hAnsi="Tahoma"/>
      <w:sz w:val="18"/>
      <w:szCs w:val="18"/>
    </w:rPr>
  </w:style>
  <w:style w:type="character" w:customStyle="1" w:styleId="13">
    <w:name w:val="页脚 Char"/>
    <w:basedOn w:val="7"/>
    <w:link w:val="3"/>
    <w:semiHidden/>
    <w:qFormat/>
    <w:uiPriority w:val="99"/>
    <w:rPr>
      <w:rFonts w:ascii="Tahoma" w:hAnsi="Tahoma"/>
      <w:sz w:val="18"/>
      <w:szCs w:val="18"/>
    </w:rPr>
  </w:style>
  <w:style w:type="character" w:customStyle="1" w:styleId="14">
    <w:name w:val="批注框文本 Char"/>
    <w:basedOn w:val="7"/>
    <w:link w:val="2"/>
    <w:semiHidden/>
    <w:qFormat/>
    <w:uiPriority w:val="99"/>
    <w:rPr>
      <w:rFonts w:ascii="Tahoma" w:hAnsi="Tahoma"/>
      <w:sz w:val="18"/>
      <w:szCs w:val="18"/>
    </w:rPr>
  </w:style>
  <w:style w:type="character" w:customStyle="1" w:styleId="15">
    <w:name w:val="a_p_3"/>
    <w:basedOn w:val="7"/>
    <w:qFormat/>
    <w:uiPriority w:val="0"/>
    <w:rPr>
      <w:sz w:val="18"/>
      <w:szCs w:val="18"/>
    </w:rPr>
  </w:style>
  <w:style w:type="character" w:customStyle="1" w:styleId="16">
    <w:name w:val="swiper-active-switch10"/>
    <w:basedOn w:val="7"/>
    <w:qFormat/>
    <w:uiPriority w:val="0"/>
  </w:style>
  <w:style w:type="character" w:customStyle="1" w:styleId="17">
    <w:name w:val="swiper-active-switch11"/>
    <w:basedOn w:val="7"/>
    <w:qFormat/>
    <w:uiPriority w:val="0"/>
  </w:style>
  <w:style w:type="character" w:customStyle="1" w:styleId="18">
    <w:name w:val="ul_li_a_1"/>
    <w:basedOn w:val="7"/>
    <w:qFormat/>
    <w:uiPriority w:val="0"/>
    <w:rPr>
      <w:b/>
      <w:bCs/>
      <w:color w:val="FFFFFF"/>
    </w:rPr>
  </w:style>
  <w:style w:type="character" w:customStyle="1" w:styleId="19">
    <w:name w:val="hover19"/>
    <w:basedOn w:val="7"/>
    <w:qFormat/>
    <w:uiPriority w:val="0"/>
  </w:style>
  <w:style w:type="character" w:customStyle="1" w:styleId="20">
    <w:name w:val="a_p_1"/>
    <w:basedOn w:val="7"/>
    <w:qFormat/>
    <w:uiPriority w:val="0"/>
    <w:rPr>
      <w:sz w:val="18"/>
      <w:szCs w:val="18"/>
    </w:rPr>
  </w:style>
  <w:style w:type="character" w:customStyle="1" w:styleId="21">
    <w:name w:val="a_p_2"/>
    <w:basedOn w:val="7"/>
    <w:qFormat/>
    <w:uiPriority w:val="0"/>
    <w:rPr>
      <w:sz w:val="18"/>
      <w:szCs w:val="18"/>
    </w:rPr>
  </w:style>
  <w:style w:type="character" w:customStyle="1" w:styleId="22">
    <w:name w:val="a_p_21"/>
    <w:basedOn w:val="7"/>
    <w:qFormat/>
    <w:uiPriority w:val="0"/>
  </w:style>
  <w:style w:type="character" w:customStyle="1" w:styleId="23">
    <w:name w:val="exap"/>
    <w:basedOn w:val="7"/>
    <w:qFormat/>
    <w:uiPriority w:val="0"/>
    <w:rPr>
      <w:sz w:val="18"/>
      <w:szCs w:val="18"/>
    </w:rPr>
  </w:style>
  <w:style w:type="character" w:customStyle="1" w:styleId="24">
    <w:name w:val="last-child3"/>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柴胡店镇政府主动公开情况</a:t>
            </a:r>
          </a:p>
        </c:rich>
      </c:tx>
      <c:layout>
        <c:manualLayout>
          <c:xMode val="edge"/>
          <c:yMode val="edge"/>
          <c:x val="0.293110666698724"/>
          <c:y val="0.0148414856840401"/>
        </c:manualLayout>
      </c:layout>
      <c:overlay val="0"/>
      <c:spPr>
        <a:noFill/>
        <a:ln>
          <a:noFill/>
        </a:ln>
        <a:effectLst/>
      </c:spPr>
    </c:title>
    <c:autoTitleDeleted val="0"/>
    <c:plotArea>
      <c:layout>
        <c:manualLayout>
          <c:layoutTarget val="inner"/>
          <c:xMode val="edge"/>
          <c:yMode val="edge"/>
          <c:x val="0.262402028584601"/>
          <c:y val="0.186712546320805"/>
          <c:w val="0.475195942830798"/>
          <c:h val="0.727510146461973"/>
        </c:manualLayout>
      </c:layout>
      <c:pieChart>
        <c:varyColors val="1"/>
        <c:ser>
          <c:idx val="0"/>
          <c:order val="0"/>
          <c:tx>
            <c:strRef>
              <c:f>Sheet1!$B$1</c:f>
              <c:strCache>
                <c:ptCount val="1"/>
                <c:pt idx="0">
                  <c:v>2024年柴胡店镇人民政府主动公开情况</c:v>
                </c:pt>
              </c:strCache>
            </c:strRef>
          </c:tx>
          <c:spPr/>
          <c:explosion val="13"/>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Pt>
            <c:idx val="3"/>
            <c:bubble3D val="0"/>
            <c:explosion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柴胡店镇官网815</a:t>
                    </a:r>
                  </a:p>
                  <a:p>
                    <a:pPr defTabSz="914400">
                      <a:defRPr lang="zh-CN" sz="1000" b="1" i="0" u="none" strike="noStrike" kern="1200" spc="0" baseline="0">
                        <a:solidFill>
                          <a:schemeClr val="accent1"/>
                        </a:solidFill>
                        <a:latin typeface="+mn-lt"/>
                        <a:ea typeface="+mn-ea"/>
                        <a:cs typeface="+mn-cs"/>
                      </a:defRPr>
                    </a:pPr>
                    <a:r>
                      <a:rPr lang="en-US" altLang="zh-CN"/>
                      <a:t>37.5%</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柴胡店镇微讯1325</a:t>
                    </a:r>
                  </a:p>
                  <a:p>
                    <a:pPr defTabSz="914400">
                      <a:defRPr lang="zh-CN" sz="1000" b="1" i="0" u="none" strike="noStrike" kern="1200" spc="0" baseline="0">
                        <a:solidFill>
                          <a:schemeClr val="accent2"/>
                        </a:solidFill>
                        <a:latin typeface="+mn-lt"/>
                        <a:ea typeface="+mn-ea"/>
                        <a:cs typeface="+mn-cs"/>
                      </a:defRPr>
                    </a:pPr>
                    <a:r>
                      <a:rPr lang="en-US" altLang="zh-CN"/>
                      <a:t>60.9</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1"/>
              <c:showBubbleSize val="0"/>
              <c:separator>
</c:separator>
              <c:extLst>
                <c:ext xmlns:c15="http://schemas.microsoft.com/office/drawing/2012/chart" uri="{CE6537A1-D6FC-4f65-9D91-7224C49458BB}"/>
              </c:extLst>
            </c:dLbl>
            <c:dLbl>
              <c:idx val="2"/>
              <c:layout>
                <c:manualLayout>
                  <c:x val="-0.176348547717842"/>
                  <c:y val="0.0794070937003706"/>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3"/>
                        </a:solidFill>
                        <a:latin typeface="+mn-lt"/>
                        <a:ea typeface="+mn-ea"/>
                        <a:cs typeface="+mn-cs"/>
                      </a:defRPr>
                    </a:pPr>
                    <a:r>
                      <a:t>线下张贴90</a:t>
                    </a:r>
                    <a:r>
                      <a:rPr lang="en-US" altLang="zh-CN"/>
                      <a:t>.4</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142041399000714"/>
                      <c:h val="0.169913825402773"/>
                    </c:manualLayout>
                  </c15:layout>
                </c:ext>
              </c:extLst>
            </c:dLbl>
            <c:dLbl>
              <c:idx val="3"/>
              <c:layout>
                <c:manualLayout>
                  <c:x val="0.12448132780083"/>
                  <c:y val="0.0529380624669137"/>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4"/>
                        </a:solidFill>
                        <a:latin typeface="+mn-lt"/>
                        <a:ea typeface="+mn-ea"/>
                        <a:cs typeface="+mn-cs"/>
                      </a:defRPr>
                    </a:pPr>
                    <a:r>
                      <a:t>信息公开网站241</a:t>
                    </a:r>
                    <a:r>
                      <a:rPr lang="en-US" altLang="zh-CN"/>
                      <a:t>.1</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1"/>
              <c:showCatName val="1"/>
              <c:showSerName val="0"/>
              <c:showPercent val="1"/>
              <c:showBubbleSize val="0"/>
              <c:separator>
</c:separator>
              <c:extLst>
                <c:ext xmlns:c15="http://schemas.microsoft.com/office/drawing/2012/chart" uri="{CE6537A1-D6FC-4f65-9D91-7224C49458BB}">
                  <c15:layout>
                    <c:manualLayout>
                      <c:w val="0.289073305670816"/>
                      <c:h val="0.155461443444503"/>
                    </c:manualLayout>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柴胡店镇官网</c:v>
                </c:pt>
                <c:pt idx="1">
                  <c:v>柴胡店镇微讯</c:v>
                </c:pt>
                <c:pt idx="2">
                  <c:v>线下张贴</c:v>
                </c:pt>
                <c:pt idx="3">
                  <c:v>信息公开网站</c:v>
                </c:pt>
              </c:strCache>
            </c:strRef>
          </c:cat>
          <c:val>
            <c:numRef>
              <c:f>Sheet1!$B$2:$B$5</c:f>
              <c:numCache>
                <c:formatCode>General</c:formatCode>
                <c:ptCount val="4"/>
                <c:pt idx="0">
                  <c:v>815</c:v>
                </c:pt>
                <c:pt idx="1">
                  <c:v>1325</c:v>
                </c:pt>
                <c:pt idx="2">
                  <c:v>9</c:v>
                </c:pt>
                <c:pt idx="3">
                  <c:v>24</c:v>
                </c:pt>
              </c:numCache>
            </c:numRef>
          </c:val>
        </c:ser>
        <c:ser>
          <c:idx val="1"/>
          <c:order val="1"/>
          <c:tx>
            <c:strRef>
              <c:f>Sheet1!$C$1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柴胡店镇官网</c:v>
                </c:pt>
                <c:pt idx="1">
                  <c:v>柴胡店镇微讯</c:v>
                </c:pt>
                <c:pt idx="2">
                  <c:v>线下张贴</c:v>
                </c:pt>
                <c:pt idx="3">
                  <c:v>信息公开网站</c:v>
                </c:pt>
              </c:strCache>
            </c:strRef>
          </c:cat>
          <c:val>
            <c:numRef>
              <c:f>Sheet1!$C$2:$C$5</c:f>
              <c:numCache>
                <c:formatCode>General</c:formatCode>
                <c:ptCount val="4"/>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5f865d5e-fdcc-4f13-a9eb-a834b1545c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1" i="0" u="none" strike="noStrike" kern="1200" baseline="0">
                <a:solidFill>
                  <a:schemeClr val="tx1">
                    <a:lumMod val="75000"/>
                    <a:lumOff val="25000"/>
                  </a:schemeClr>
                </a:solidFill>
                <a:latin typeface="宋体" panose="02010600030101010101" charset="-122"/>
                <a:ea typeface="宋体" panose="02010600030101010101" charset="-122"/>
                <a:cs typeface="宋体" panose="02010600030101010101" charset="-122"/>
                <a:sym typeface="宋体" panose="02010600030101010101" charset="-122"/>
              </a:defRPr>
            </a:pPr>
            <a:r>
              <a:rPr lang="en-US" altLang="zh-CN" sz="1400" b="1">
                <a:latin typeface="宋体" panose="02010600030101010101" charset="-122"/>
                <a:ea typeface="宋体" panose="02010600030101010101" charset="-122"/>
                <a:cs typeface="宋体" panose="02010600030101010101" charset="-122"/>
                <a:sym typeface="宋体" panose="02010600030101010101" charset="-122"/>
              </a:rPr>
              <a:t>2024</a:t>
            </a:r>
            <a:r>
              <a:rPr altLang="en-US" sz="1400" b="1">
                <a:latin typeface="宋体" panose="02010600030101010101" charset="-122"/>
                <a:ea typeface="宋体" panose="02010600030101010101" charset="-122"/>
                <a:cs typeface="宋体" panose="02010600030101010101" charset="-122"/>
                <a:sym typeface="宋体" panose="02010600030101010101" charset="-122"/>
              </a:rPr>
              <a:t>年</a:t>
            </a:r>
            <a:r>
              <a:rPr sz="1400" b="1">
                <a:latin typeface="宋体" panose="02010600030101010101" charset="-122"/>
                <a:ea typeface="宋体" panose="02010600030101010101" charset="-122"/>
                <a:cs typeface="宋体" panose="02010600030101010101" charset="-122"/>
                <a:sym typeface="宋体" panose="02010600030101010101" charset="-122"/>
              </a:rPr>
              <a:t>柴胡店镇人民政府信息公开网站更新情况</a:t>
            </a:r>
            <a:endParaRPr sz="1400" b="1">
              <a:latin typeface="宋体" panose="02010600030101010101" charset="-122"/>
              <a:ea typeface="宋体" panose="02010600030101010101" charset="-122"/>
              <a:cs typeface="宋体" panose="02010600030101010101" charset="-122"/>
              <a:sym typeface="宋体" panose="02010600030101010101" charset="-122"/>
            </a:endParaRPr>
          </a:p>
        </c:rich>
      </c:tx>
      <c:layout>
        <c:manualLayout>
          <c:xMode val="edge"/>
          <c:yMode val="edge"/>
          <c:x val="0.163203672384634"/>
          <c:y val="0.0892477688057799"/>
        </c:manualLayout>
      </c:layout>
      <c:overlay val="0"/>
      <c:spPr>
        <a:noFill/>
        <a:ln>
          <a:noFill/>
        </a:ln>
        <a:effectLst/>
      </c:spPr>
    </c:title>
    <c:autoTitleDeleted val="0"/>
    <c:plotArea>
      <c:layout>
        <c:manualLayout>
          <c:layoutTarget val="inner"/>
          <c:xMode val="edge"/>
          <c:yMode val="edge"/>
          <c:x val="0.0467063075667483"/>
          <c:y val="0.171900826446281"/>
          <c:w val="0.922397108546112"/>
          <c:h val="0.734297520661157"/>
        </c:manualLayout>
      </c:layout>
      <c:barChart>
        <c:barDir val="col"/>
        <c:grouping val="clustered"/>
        <c:varyColors val="0"/>
        <c:ser>
          <c:idx val="0"/>
          <c:order val="0"/>
          <c:tx>
            <c:strRef>
              <c:f>Sheet1!$B$1</c:f>
              <c:strCache>
                <c:ptCount val="1"/>
                <c:pt idx="0">
                  <c:v/>
                </c:pt>
              </c:strCache>
            </c:strRef>
          </c:tx>
          <c:spPr>
            <a:gradFill>
              <a:gsLst>
                <a:gs pos="0">
                  <a:srgbClr val="FBE55E"/>
                </a:gs>
                <a:gs pos="100000">
                  <a:srgbClr val="EA3F32"/>
                </a:gs>
              </a:gsLst>
              <a:lin ang="8820000" scaled="1"/>
            </a:gradFill>
            <a:ln>
              <a:noFill/>
            </a:ln>
            <a:effectLst/>
          </c:spPr>
          <c:invertIfNegative val="0"/>
          <c:dPt>
            <c:idx val="0"/>
            <c:invertIfNegative val="0"/>
            <c:bubble3D val="0"/>
          </c:dPt>
          <c:dPt>
            <c:idx val="3"/>
            <c:invertIfNegative val="0"/>
            <c:bubble3D val="0"/>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宋体" panose="02010600030101010101" charset="-122"/>
                    <a:ea typeface="宋体" panose="02010600030101010101" charset="-122"/>
                    <a:cs typeface="宋体" panose="02010600030101010101" charset="-122"/>
                    <a:sym typeface="宋体" panose="02010600030101010101" charset="-122"/>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通知公告</c:v>
                </c:pt>
                <c:pt idx="1">
                  <c:v>政策文件</c:v>
                </c:pt>
                <c:pt idx="2">
                  <c:v>规划计划</c:v>
                </c:pt>
                <c:pt idx="3">
                  <c:v>组织管理</c:v>
                </c:pt>
                <c:pt idx="4">
                  <c:v>公开基本目录</c:v>
                </c:pt>
              </c:strCache>
            </c:strRef>
          </c:cat>
          <c:val>
            <c:numRef>
              <c:f>Sheet1!$B$2:$B$6</c:f>
              <c:numCache>
                <c:formatCode>General</c:formatCode>
                <c:ptCount val="5"/>
                <c:pt idx="0">
                  <c:v>10</c:v>
                </c:pt>
                <c:pt idx="1">
                  <c:v>1</c:v>
                </c:pt>
                <c:pt idx="2">
                  <c:v>2</c:v>
                </c:pt>
                <c:pt idx="3">
                  <c:v>9</c:v>
                </c:pt>
                <c:pt idx="4">
                  <c:v>2</c:v>
                </c:pt>
              </c:numCache>
            </c:numRef>
          </c:val>
        </c:ser>
        <c:dLbls>
          <c:showLegendKey val="0"/>
          <c:showVal val="1"/>
          <c:showCatName val="0"/>
          <c:showSerName val="0"/>
          <c:showPercent val="0"/>
          <c:showBubbleSize val="0"/>
        </c:dLbls>
        <c:gapWidth val="150"/>
        <c:overlap val="0"/>
        <c:axId val="918857599"/>
        <c:axId val="57108545"/>
      </c:barChart>
      <c:catAx>
        <c:axId val="918857599"/>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1000" b="0" i="0" u="none" strike="noStrike" kern="1200" baseline="0">
                <a:solidFill>
                  <a:schemeClr val="tx1">
                    <a:lumMod val="75000"/>
                    <a:lumOff val="25000"/>
                  </a:schemeClr>
                </a:solidFill>
                <a:latin typeface="宋体" panose="02010600030101010101" charset="-122"/>
                <a:ea typeface="宋体" panose="02010600030101010101" charset="-122"/>
                <a:cs typeface="宋体" panose="02010600030101010101" charset="-122"/>
                <a:sym typeface="宋体" panose="02010600030101010101" charset="-122"/>
              </a:defRPr>
            </a:pPr>
          </a:p>
        </c:txPr>
        <c:crossAx val="57108545"/>
        <c:crosses val="autoZero"/>
        <c:auto val="1"/>
        <c:lblAlgn val="ctr"/>
        <c:lblOffset val="100"/>
        <c:noMultiLvlLbl val="0"/>
      </c:catAx>
      <c:valAx>
        <c:axId val="57108545"/>
        <c:scaling>
          <c:orientation val="minMax"/>
        </c:scaling>
        <c:delete val="0"/>
        <c:axPos val="l"/>
        <c:numFmt formatCode="General" sourceLinked="1"/>
        <c:majorTickMark val="none"/>
        <c:minorTickMark val="none"/>
        <c:tickLblPos val="nextTo"/>
        <c:spPr>
          <a:noFill/>
          <a:ln w="6350">
            <a:solidFill>
              <a:schemeClr val="tx1">
                <a:lumMod val="50000"/>
                <a:lumOff val="50000"/>
                <a:alpha val="25000"/>
              </a:schemeClr>
            </a:solid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宋体" panose="02010600030101010101" charset="-122"/>
                <a:ea typeface="宋体" panose="02010600030101010101" charset="-122"/>
                <a:cs typeface="宋体" panose="02010600030101010101" charset="-122"/>
                <a:sym typeface="宋体" panose="02010600030101010101" charset="-122"/>
              </a:defRPr>
            </a:pPr>
          </a:p>
        </c:txPr>
        <c:crossAx val="918857599"/>
        <c:crosses val="autoZero"/>
        <c:crossBetween val="between"/>
      </c:valAx>
      <c:spPr>
        <a:noFill/>
        <a:ln>
          <a:noFill/>
        </a:ln>
        <a:effectLst/>
      </c:spPr>
    </c:plotArea>
    <c:plotVisOnly val="1"/>
    <c:dispBlanksAs val="gap"/>
    <c:showDLblsOverMax val="0"/>
    <c:extLst>
      <c:ext uri="{0b15fc19-7d7d-44ad-8c2d-2c3a37ce22c3}">
        <chartProps xmlns="https://web.wps.cn/et/2018/main" chartId="{482fd67f-e0e7-49c3-8e0d-182cba53a602}"/>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宋体" panose="02010600030101010101" charset="-122"/>
          <a:ea typeface="宋体" panose="02010600030101010101" charset="-122"/>
          <a:cs typeface="宋体" panose="02010600030101010101" charset="-122"/>
          <a:sym typeface="宋体" panose="02010600030101010101"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3316</Words>
  <Characters>3431</Characters>
  <Lines>26</Lines>
  <Paragraphs>7</Paragraphs>
  <TotalTime>3</TotalTime>
  <ScaleCrop>false</ScaleCrop>
  <LinksUpToDate>false</LinksUpToDate>
  <CharactersWithSpaces>3460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2008-09-12T09:20:00Z</dcterms:created>
  <dc:creator>HUAWEI</dc:creator>
  <cp:lastModifiedBy>韩慧</cp:lastModifiedBy>
  <cp:lastPrinted>2025-01-09T03:11:00Z</cp:lastPrinted>
  <dcterms:modified xsi:type="dcterms:W3CDTF">2025-01-14T02:25:03Z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5024068C94EF435190116C6473C3610A_13</vt:lpwstr>
  </property>
  <property fmtid="{D5CDD505-2E9C-101B-9397-08002B2CF9AE}" pid="4" name="KSOTemplateDocerSaveRecord">
    <vt:lpwstr>eyJoZGlkIjoiNzAxZGMwOWY2ZGUyM2E2ODdiMTIyNGI5NzFmZDFjMWMiLCJ1c2VySWQiOiIxNDg3ODAwNjUwIn0=</vt:lpwstr>
  </property>
</Properties>
</file>