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20" w:lineRule="atLeast"/>
        <w:jc w:val="center"/>
        <w:rPr>
          <w:rFonts w:hint="eastAsia" w:ascii="方正小标宋简体" w:eastAsia="方正小标宋简体"/>
          <w:sz w:val="44"/>
          <w:szCs w:val="44"/>
          <w:highlight w:val="none"/>
        </w:rPr>
      </w:pPr>
      <w:r>
        <w:rPr>
          <w:rFonts w:hint="eastAsia" w:ascii="方正小标宋简体" w:eastAsia="方正小标宋简体"/>
          <w:sz w:val="44"/>
          <w:szCs w:val="44"/>
          <w:highlight w:val="none"/>
        </w:rPr>
        <w:t>滕州市柴胡店镇</w:t>
      </w:r>
    </w:p>
    <w:p>
      <w:pPr>
        <w:spacing w:line="220" w:lineRule="atLeast"/>
        <w:jc w:val="center"/>
        <w:rPr>
          <w:rFonts w:ascii="方正小标宋简体" w:eastAsia="方正小标宋简体"/>
          <w:sz w:val="44"/>
          <w:szCs w:val="44"/>
          <w:highlight w:val="none"/>
        </w:rPr>
      </w:pPr>
      <w:r>
        <w:rPr>
          <w:rFonts w:hint="eastAsia" w:ascii="方正小标宋简体" w:eastAsia="方正小标宋简体"/>
          <w:sz w:val="44"/>
          <w:szCs w:val="44"/>
          <w:highlight w:val="none"/>
        </w:rPr>
        <w:t>202</w:t>
      </w:r>
      <w:r>
        <w:rPr>
          <w:rFonts w:hint="eastAsia" w:ascii="方正小标宋简体" w:eastAsia="方正小标宋简体"/>
          <w:sz w:val="44"/>
          <w:szCs w:val="44"/>
          <w:highlight w:val="none"/>
          <w:lang w:val="en-US" w:eastAsia="zh-CN"/>
        </w:rPr>
        <w:t>3</w:t>
      </w:r>
      <w:r>
        <w:rPr>
          <w:rFonts w:hint="eastAsia" w:ascii="方正小标宋简体" w:eastAsia="方正小标宋简体"/>
          <w:sz w:val="44"/>
          <w:szCs w:val="44"/>
          <w:highlight w:val="none"/>
        </w:rPr>
        <w:t>年政府信息公开工作年度报告</w:t>
      </w:r>
    </w:p>
    <w:p>
      <w:pPr>
        <w:pStyle w:val="5"/>
        <w:widowControl/>
        <w:spacing w:beforeAutospacing="0" w:afterAutospacing="0" w:line="560" w:lineRule="exact"/>
        <w:ind w:firstLine="640" w:firstLineChars="200"/>
        <w:jc w:val="both"/>
        <w:rPr>
          <w:rFonts w:hint="default"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3</w:t>
      </w:r>
      <w:r>
        <w:rPr>
          <w:rFonts w:hint="eastAsia" w:ascii="仿宋_GB2312" w:hAnsi="仿宋_GB2312" w:eastAsia="仿宋_GB2312" w:cs="仿宋_GB2312"/>
          <w:color w:val="000000"/>
          <w:sz w:val="32"/>
          <w:szCs w:val="32"/>
          <w:highlight w:val="none"/>
          <w:lang w:eastAsia="zh-CN"/>
        </w:rPr>
        <w:t>年，柴胡店</w:t>
      </w:r>
      <w:r>
        <w:rPr>
          <w:rFonts w:hint="eastAsia" w:ascii="仿宋_GB2312" w:hAnsi="仿宋_GB2312" w:eastAsia="仿宋_GB2312" w:cs="仿宋_GB2312"/>
          <w:color w:val="000000"/>
          <w:sz w:val="32"/>
          <w:szCs w:val="32"/>
          <w:highlight w:val="none"/>
          <w:lang w:val="en-US" w:eastAsia="zh-CN"/>
        </w:rPr>
        <w:t>镇</w:t>
      </w:r>
      <w:r>
        <w:rPr>
          <w:rFonts w:hint="eastAsia" w:ascii="仿宋_GB2312" w:hAnsi="仿宋_GB2312" w:eastAsia="仿宋_GB2312" w:cs="仿宋_GB2312"/>
          <w:color w:val="000000"/>
          <w:sz w:val="32"/>
          <w:szCs w:val="32"/>
          <w:highlight w:val="none"/>
          <w:lang w:eastAsia="zh-CN"/>
        </w:rPr>
        <w:t>结合政府信息公开实际</w:t>
      </w:r>
      <w:r>
        <w:rPr>
          <w:rFonts w:hint="eastAsia"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eastAsia="zh-CN"/>
        </w:rPr>
        <w:t>根据《中华人民共和国政府信息公开条例》（以下简称《条例》）规定，不断细化分解任务，</w:t>
      </w:r>
      <w:r>
        <w:rPr>
          <w:rFonts w:hint="eastAsia" w:ascii="仿宋_GB2312" w:hAnsi="仿宋_GB2312" w:eastAsia="仿宋_GB2312" w:cs="仿宋_GB2312"/>
          <w:color w:val="000000"/>
          <w:sz w:val="32"/>
          <w:szCs w:val="32"/>
          <w:highlight w:val="none"/>
          <w:lang w:val="en-US" w:eastAsia="zh-CN"/>
        </w:rPr>
        <w:t>重视</w:t>
      </w:r>
      <w:r>
        <w:rPr>
          <w:rFonts w:hint="eastAsia" w:ascii="仿宋_GB2312" w:hAnsi="仿宋_GB2312" w:eastAsia="仿宋_GB2312" w:cs="仿宋_GB2312"/>
          <w:color w:val="000000"/>
          <w:sz w:val="32"/>
          <w:szCs w:val="32"/>
          <w:highlight w:val="none"/>
          <w:lang w:eastAsia="zh-CN"/>
        </w:rPr>
        <w:t>组织建设、平台建设、制度建设</w:t>
      </w:r>
      <w:r>
        <w:rPr>
          <w:rFonts w:hint="eastAsia" w:ascii="仿宋_GB2312" w:hAnsi="仿宋_GB2312" w:eastAsia="仿宋_GB2312" w:cs="仿宋_GB2312"/>
          <w:color w:val="000000"/>
          <w:sz w:val="32"/>
          <w:szCs w:val="32"/>
          <w:highlight w:val="none"/>
          <w:lang w:val="en-US" w:eastAsia="zh-CN"/>
        </w:rPr>
        <w:t>等</w:t>
      </w:r>
      <w:r>
        <w:rPr>
          <w:rFonts w:hint="eastAsia" w:ascii="仿宋_GB2312" w:hAnsi="仿宋_GB2312" w:eastAsia="仿宋_GB2312" w:cs="仿宋_GB2312"/>
          <w:color w:val="000000"/>
          <w:sz w:val="32"/>
          <w:szCs w:val="32"/>
          <w:highlight w:val="none"/>
          <w:lang w:eastAsia="zh-CN"/>
        </w:rPr>
        <w:t>，现编制柴胡店镇202</w:t>
      </w:r>
      <w:r>
        <w:rPr>
          <w:rFonts w:hint="eastAsia" w:ascii="仿宋_GB2312" w:hAnsi="仿宋_GB2312" w:eastAsia="仿宋_GB2312" w:cs="仿宋_GB2312"/>
          <w:color w:val="000000"/>
          <w:sz w:val="32"/>
          <w:szCs w:val="32"/>
          <w:highlight w:val="none"/>
          <w:lang w:val="en-US" w:eastAsia="zh-CN"/>
        </w:rPr>
        <w:t>3</w:t>
      </w:r>
      <w:r>
        <w:rPr>
          <w:rFonts w:hint="eastAsia" w:ascii="仿宋_GB2312" w:hAnsi="仿宋_GB2312" w:eastAsia="仿宋_GB2312" w:cs="仿宋_GB2312"/>
          <w:color w:val="000000"/>
          <w:sz w:val="32"/>
          <w:szCs w:val="32"/>
          <w:highlight w:val="none"/>
          <w:lang w:eastAsia="zh-CN"/>
        </w:rPr>
        <w:t>年政府信息公开工作年度报告并向社会公布，</w:t>
      </w:r>
      <w:r>
        <w:rPr>
          <w:rFonts w:hint="eastAsia" w:ascii="仿宋_GB2312" w:hAnsi="仿宋_GB2312" w:eastAsia="仿宋_GB2312" w:cs="仿宋_GB2312"/>
          <w:color w:val="000000"/>
          <w:sz w:val="32"/>
          <w:szCs w:val="32"/>
          <w:highlight w:val="none"/>
          <w:lang w:val="en-US" w:eastAsia="zh-CN"/>
        </w:rPr>
        <w:t>使得</w:t>
      </w:r>
      <w:r>
        <w:rPr>
          <w:rFonts w:hint="eastAsia" w:ascii="仿宋_GB2312" w:hAnsi="仿宋_GB2312" w:eastAsia="仿宋_GB2312" w:cs="仿宋_GB2312"/>
          <w:color w:val="000000"/>
          <w:sz w:val="32"/>
          <w:szCs w:val="32"/>
          <w:highlight w:val="none"/>
          <w:lang w:eastAsia="zh-CN"/>
        </w:rPr>
        <w:t>政府工作透明度进一步增强，有效地保障公民的知情权。</w:t>
      </w:r>
    </w:p>
    <w:p>
      <w:pPr>
        <w:pStyle w:val="5"/>
        <w:numPr>
          <w:ilvl w:val="0"/>
          <w:numId w:val="1"/>
        </w:numPr>
        <w:shd w:val="clear" w:color="auto" w:fill="FFFFFF"/>
        <w:spacing w:beforeAutospacing="0" w:afterAutospacing="0" w:line="560" w:lineRule="exact"/>
        <w:ind w:left="684" w:leftChars="0" w:firstLine="0" w:firstLineChars="0"/>
        <w:jc w:val="both"/>
        <w:rPr>
          <w:rFonts w:hint="eastAsia" w:ascii="黑体" w:hAnsi="黑体" w:eastAsia="黑体" w:cs="宋体"/>
          <w:color w:val="000000"/>
          <w:sz w:val="32"/>
          <w:szCs w:val="32"/>
          <w:highlight w:val="none"/>
        </w:rPr>
      </w:pPr>
      <w:r>
        <w:rPr>
          <w:rFonts w:hint="eastAsia" w:ascii="黑体" w:hAnsi="黑体" w:eastAsia="黑体" w:cs="宋体"/>
          <w:color w:val="000000"/>
          <w:sz w:val="32"/>
          <w:szCs w:val="32"/>
          <w:highlight w:val="none"/>
        </w:rPr>
        <w:t>总体情况</w:t>
      </w:r>
    </w:p>
    <w:p>
      <w:pPr>
        <w:pStyle w:val="5"/>
        <w:widowControl/>
        <w:spacing w:beforeAutospacing="0" w:afterAutospacing="0" w:line="560" w:lineRule="exact"/>
        <w:ind w:firstLine="640" w:firstLineChars="200"/>
        <w:jc w:val="both"/>
        <w:rPr>
          <w:rFonts w:hint="eastAsia" w:ascii="仿宋_GB2312" w:hAnsi="仿宋_GB2312" w:eastAsia="仿宋_GB2312" w:cs="仿宋_GB2312"/>
          <w:i w:val="0"/>
          <w:iCs w:val="0"/>
          <w:caps w:val="0"/>
          <w:color w:val="333333"/>
          <w:spacing w:val="0"/>
          <w:sz w:val="32"/>
          <w:szCs w:val="32"/>
          <w:highlight w:val="none"/>
          <w:shd w:val="clear" w:fill="FFFFFF"/>
        </w:rPr>
      </w:pPr>
      <w:r>
        <w:rPr>
          <w:rFonts w:hint="eastAsia" w:ascii="仿宋_GB2312" w:hAnsi="仿宋_GB2312" w:eastAsia="仿宋_GB2312" w:cs="仿宋_GB2312"/>
          <w:i w:val="0"/>
          <w:iCs w:val="0"/>
          <w:caps w:val="0"/>
          <w:color w:val="000000"/>
          <w:spacing w:val="0"/>
          <w:sz w:val="32"/>
          <w:szCs w:val="32"/>
          <w:highlight w:val="none"/>
          <w:shd w:val="clear" w:fill="FFFFFF"/>
        </w:rPr>
        <w:t>202</w:t>
      </w:r>
      <w:r>
        <w:rPr>
          <w:rFonts w:hint="eastAsia" w:ascii="仿宋_GB2312" w:hAnsi="仿宋_GB2312" w:eastAsia="仿宋_GB2312" w:cs="仿宋_GB2312"/>
          <w:i w:val="0"/>
          <w:iCs w:val="0"/>
          <w:caps w:val="0"/>
          <w:color w:val="000000"/>
          <w:spacing w:val="0"/>
          <w:sz w:val="32"/>
          <w:szCs w:val="32"/>
          <w:highlight w:val="none"/>
          <w:shd w:val="clear" w:fill="FFFFFF"/>
          <w:lang w:val="en-US" w:eastAsia="zh-CN"/>
        </w:rPr>
        <w:t>3</w:t>
      </w:r>
      <w:r>
        <w:rPr>
          <w:rFonts w:hint="eastAsia" w:ascii="仿宋_GB2312" w:hAnsi="仿宋_GB2312" w:eastAsia="仿宋_GB2312" w:cs="仿宋_GB2312"/>
          <w:i w:val="0"/>
          <w:iCs w:val="0"/>
          <w:caps w:val="0"/>
          <w:color w:val="000000"/>
          <w:spacing w:val="0"/>
          <w:sz w:val="32"/>
          <w:szCs w:val="32"/>
          <w:highlight w:val="none"/>
          <w:shd w:val="clear" w:fill="FFFFFF"/>
        </w:rPr>
        <w:t>年，我镇严格按照省市工作要求，</w:t>
      </w:r>
      <w:r>
        <w:rPr>
          <w:rFonts w:hint="eastAsia" w:ascii="仿宋_GB2312" w:hAnsi="仿宋_GB2312" w:eastAsia="仿宋_GB2312" w:cs="仿宋_GB2312"/>
          <w:i w:val="0"/>
          <w:iCs w:val="0"/>
          <w:caps w:val="0"/>
          <w:color w:val="333333"/>
          <w:spacing w:val="0"/>
          <w:sz w:val="32"/>
          <w:szCs w:val="32"/>
          <w:highlight w:val="none"/>
          <w:shd w:val="clear" w:fill="FFFFFF"/>
        </w:rPr>
        <w:t>认真落实国家、省关于全面推进政务公开的系列部署，进一步提升服务大局和服务群众能力，树牢以人民为中心的发展思想，聚焦聚力重点工作，全面提升政务公开的质量和实效，让公开力度更大，政策解读更透，公开平台更优化，公开渠道更畅通，努力实现我</w:t>
      </w:r>
      <w:r>
        <w:rPr>
          <w:rFonts w:hint="eastAsia" w:ascii="仿宋_GB2312" w:hAnsi="仿宋_GB2312" w:eastAsia="仿宋_GB2312" w:cs="仿宋_GB2312"/>
          <w:i w:val="0"/>
          <w:iCs w:val="0"/>
          <w:caps w:val="0"/>
          <w:color w:val="333333"/>
          <w:spacing w:val="0"/>
          <w:sz w:val="32"/>
          <w:szCs w:val="32"/>
          <w:highlight w:val="none"/>
          <w:shd w:val="clear" w:fill="FFFFFF"/>
          <w:lang w:val="en-US" w:eastAsia="zh-CN"/>
        </w:rPr>
        <w:t>镇</w:t>
      </w:r>
      <w:r>
        <w:rPr>
          <w:rFonts w:hint="eastAsia" w:ascii="仿宋_GB2312" w:hAnsi="仿宋_GB2312" w:eastAsia="仿宋_GB2312" w:cs="仿宋_GB2312"/>
          <w:i w:val="0"/>
          <w:iCs w:val="0"/>
          <w:caps w:val="0"/>
          <w:color w:val="333333"/>
          <w:spacing w:val="0"/>
          <w:sz w:val="32"/>
          <w:szCs w:val="32"/>
          <w:highlight w:val="none"/>
          <w:shd w:val="clear" w:fill="FFFFFF"/>
        </w:rPr>
        <w:t>政务公开水平的全面提升。</w:t>
      </w:r>
    </w:p>
    <w:p>
      <w:pPr>
        <w:pStyle w:val="5"/>
        <w:widowControl/>
        <w:numPr>
          <w:ilvl w:val="0"/>
          <w:numId w:val="0"/>
        </w:numPr>
        <w:spacing w:beforeAutospacing="0" w:afterAutospacing="0" w:line="560" w:lineRule="exact"/>
        <w:ind w:firstLine="640" w:firstLineChars="200"/>
        <w:jc w:val="both"/>
        <w:rPr>
          <w:rFonts w:hint="eastAsia" w:ascii="仿宋_GB2312" w:hAnsi="sans-serif" w:eastAsia="仿宋_GB2312" w:cs="仿宋_GB2312"/>
          <w:color w:val="000000"/>
          <w:sz w:val="32"/>
          <w:szCs w:val="32"/>
          <w:highlight w:val="none"/>
          <w:lang w:eastAsia="zh-CN"/>
        </w:rPr>
      </w:pPr>
      <w:r>
        <w:rPr>
          <w:rFonts w:hint="eastAsia" w:ascii="楷体_GB2312" w:hAnsi="楷体_GB2312" w:eastAsia="楷体_GB2312" w:cs="楷体_GB2312"/>
          <w:color w:val="000000"/>
          <w:sz w:val="32"/>
          <w:szCs w:val="32"/>
          <w:lang w:eastAsia="zh-CN"/>
        </w:rPr>
        <w:t>（</w:t>
      </w:r>
      <w:r>
        <w:rPr>
          <w:rFonts w:hint="eastAsia" w:ascii="楷体_GB2312" w:hAnsi="楷体_GB2312" w:eastAsia="楷体_GB2312" w:cs="楷体_GB2312"/>
          <w:color w:val="000000"/>
          <w:sz w:val="32"/>
          <w:szCs w:val="32"/>
          <w:lang w:val="en-US" w:eastAsia="zh-CN"/>
        </w:rPr>
        <w:t>一</w:t>
      </w:r>
      <w:r>
        <w:rPr>
          <w:rFonts w:hint="eastAsia" w:ascii="楷体_GB2312" w:hAnsi="楷体_GB2312" w:eastAsia="楷体_GB2312" w:cs="楷体_GB2312"/>
          <w:color w:val="000000"/>
          <w:sz w:val="32"/>
          <w:szCs w:val="32"/>
          <w:lang w:eastAsia="zh-CN"/>
        </w:rPr>
        <w:t>）</w:t>
      </w:r>
      <w:r>
        <w:rPr>
          <w:rFonts w:hint="eastAsia" w:ascii="楷体_GB2312" w:hAnsi="楷体_GB2312" w:eastAsia="楷体_GB2312" w:cs="楷体_GB2312"/>
          <w:color w:val="000000"/>
          <w:sz w:val="32"/>
          <w:szCs w:val="32"/>
        </w:rPr>
        <w:t>主动公开政府信息情况</w:t>
      </w:r>
    </w:p>
    <w:p>
      <w:pPr>
        <w:pStyle w:val="5"/>
        <w:widowControl/>
        <w:spacing w:beforeAutospacing="0" w:afterAutospacing="0" w:line="560" w:lineRule="exact"/>
        <w:ind w:firstLine="640" w:firstLineChars="200"/>
        <w:jc w:val="both"/>
        <w:rPr>
          <w:rFonts w:hint="eastAsia" w:ascii="仿宋_GB2312" w:hAnsi="仿宋_GB2312" w:eastAsia="仿宋_GB2312" w:cs="仿宋_GB2312"/>
          <w:i w:val="0"/>
          <w:iCs w:val="0"/>
          <w:caps w:val="0"/>
          <w:color w:val="000000"/>
          <w:spacing w:val="0"/>
          <w:sz w:val="32"/>
          <w:szCs w:val="32"/>
          <w:highlight w:val="none"/>
          <w:shd w:val="clear" w:fill="FFFFFF"/>
          <w:lang w:eastAsia="zh-CN"/>
        </w:rPr>
      </w:pPr>
      <w:r>
        <w:rPr>
          <w:rFonts w:hint="eastAsia" w:ascii="仿宋_GB2312" w:hAnsi="仿宋_GB2312" w:eastAsia="仿宋_GB2312" w:cs="仿宋_GB2312"/>
          <w:i w:val="0"/>
          <w:iCs w:val="0"/>
          <w:caps w:val="0"/>
          <w:color w:val="000000"/>
          <w:spacing w:val="0"/>
          <w:sz w:val="32"/>
          <w:szCs w:val="32"/>
          <w:highlight w:val="none"/>
          <w:shd w:val="clear" w:fill="FFFFFF"/>
        </w:rPr>
        <w:t>进一步优化法定主动公开栏目，细化公开任务，形成横向到边、纵向到底的主动公开目录体系</w:t>
      </w:r>
      <w:r>
        <w:rPr>
          <w:rFonts w:hint="eastAsia" w:ascii="仿宋_GB2312" w:hAnsi="仿宋_GB2312" w:eastAsia="仿宋_GB2312" w:cs="仿宋_GB2312"/>
          <w:i w:val="0"/>
          <w:iCs w:val="0"/>
          <w:caps w:val="0"/>
          <w:color w:val="000000"/>
          <w:spacing w:val="0"/>
          <w:sz w:val="32"/>
          <w:szCs w:val="32"/>
          <w:highlight w:val="none"/>
          <w:shd w:val="clear" w:fill="FFFFFF"/>
          <w:lang w:eastAsia="zh-CN"/>
        </w:rPr>
        <w:t>。</w:t>
      </w:r>
      <w:r>
        <w:rPr>
          <w:rFonts w:hint="eastAsia" w:ascii="仿宋_GB2312" w:hAnsi="仿宋_GB2312" w:eastAsia="仿宋_GB2312" w:cs="仿宋_GB2312"/>
          <w:i w:val="0"/>
          <w:iCs w:val="0"/>
          <w:caps w:val="0"/>
          <w:color w:val="000000"/>
          <w:spacing w:val="0"/>
          <w:sz w:val="32"/>
          <w:szCs w:val="32"/>
          <w:highlight w:val="none"/>
          <w:shd w:val="clear" w:fill="FFFFFF"/>
        </w:rPr>
        <w:t>强化基本信息公开，通过滕州</w:t>
      </w:r>
      <w:r>
        <w:rPr>
          <w:rFonts w:hint="eastAsia" w:ascii="仿宋_GB2312" w:hAnsi="仿宋_GB2312" w:eastAsia="仿宋_GB2312" w:cs="仿宋_GB2312"/>
          <w:i w:val="0"/>
          <w:iCs w:val="0"/>
          <w:caps w:val="0"/>
          <w:color w:val="000000"/>
          <w:spacing w:val="0"/>
          <w:sz w:val="32"/>
          <w:szCs w:val="32"/>
          <w:highlight w:val="none"/>
          <w:shd w:val="clear" w:fill="FFFFFF"/>
          <w:lang w:val="en-US" w:eastAsia="zh-CN"/>
        </w:rPr>
        <w:t>政府</w:t>
      </w:r>
      <w:r>
        <w:rPr>
          <w:rFonts w:hint="eastAsia" w:ascii="仿宋_GB2312" w:hAnsi="仿宋_GB2312" w:eastAsia="仿宋_GB2312" w:cs="仿宋_GB2312"/>
          <w:i w:val="0"/>
          <w:iCs w:val="0"/>
          <w:caps w:val="0"/>
          <w:color w:val="000000"/>
          <w:spacing w:val="0"/>
          <w:sz w:val="32"/>
          <w:szCs w:val="32"/>
          <w:highlight w:val="none"/>
          <w:shd w:val="clear" w:fill="FFFFFF"/>
        </w:rPr>
        <w:t>信息公开</w:t>
      </w:r>
      <w:r>
        <w:rPr>
          <w:rFonts w:hint="eastAsia" w:ascii="仿宋_GB2312" w:hAnsi="仿宋_GB2312" w:eastAsia="仿宋_GB2312" w:cs="仿宋_GB2312"/>
          <w:i w:val="0"/>
          <w:iCs w:val="0"/>
          <w:caps w:val="0"/>
          <w:color w:val="000000"/>
          <w:spacing w:val="0"/>
          <w:sz w:val="32"/>
          <w:szCs w:val="32"/>
          <w:highlight w:val="none"/>
          <w:shd w:val="clear" w:fill="FFFFFF"/>
          <w:lang w:val="en-US" w:eastAsia="zh-CN"/>
        </w:rPr>
        <w:t>页面</w:t>
      </w:r>
      <w:r>
        <w:rPr>
          <w:rFonts w:hint="eastAsia" w:ascii="仿宋_GB2312" w:hAnsi="仿宋_GB2312" w:eastAsia="仿宋_GB2312" w:cs="仿宋_GB2312"/>
          <w:i w:val="0"/>
          <w:iCs w:val="0"/>
          <w:caps w:val="0"/>
          <w:color w:val="000000"/>
          <w:spacing w:val="0"/>
          <w:sz w:val="32"/>
          <w:szCs w:val="32"/>
          <w:highlight w:val="none"/>
          <w:shd w:val="clear" w:fill="FFFFFF"/>
        </w:rPr>
        <w:t>、</w:t>
      </w:r>
      <w:r>
        <w:rPr>
          <w:rFonts w:hint="eastAsia" w:ascii="仿宋_GB2312" w:hAnsi="仿宋_GB2312" w:eastAsia="仿宋_GB2312" w:cs="仿宋_GB2312"/>
          <w:i w:val="0"/>
          <w:iCs w:val="0"/>
          <w:caps w:val="0"/>
          <w:color w:val="000000"/>
          <w:spacing w:val="0"/>
          <w:sz w:val="32"/>
          <w:szCs w:val="32"/>
          <w:highlight w:val="none"/>
          <w:shd w:val="clear" w:fill="FFFFFF"/>
          <w:lang w:eastAsia="zh-CN"/>
        </w:rPr>
        <w:t>柴胡店镇政府</w:t>
      </w:r>
      <w:r>
        <w:rPr>
          <w:rFonts w:hint="eastAsia" w:ascii="仿宋_GB2312" w:hAnsi="仿宋_GB2312" w:eastAsia="仿宋_GB2312" w:cs="仿宋_GB2312"/>
          <w:i w:val="0"/>
          <w:iCs w:val="0"/>
          <w:caps w:val="0"/>
          <w:color w:val="000000"/>
          <w:spacing w:val="0"/>
          <w:sz w:val="32"/>
          <w:szCs w:val="32"/>
          <w:highlight w:val="none"/>
          <w:shd w:val="clear" w:fill="FFFFFF"/>
        </w:rPr>
        <w:t>门户网站、微信公众号等多种途径，及时准确地公开政府信息，重点公开政策文件、规划计划、组织管理和政府信息年度报告等。</w:t>
      </w:r>
      <w:r>
        <w:rPr>
          <w:rFonts w:hint="default" w:ascii="仿宋_GB2312" w:hAnsi="仿宋_GB2312" w:eastAsia="仿宋_GB2312" w:cs="仿宋_GB2312"/>
          <w:i w:val="0"/>
          <w:iCs w:val="0"/>
          <w:caps w:val="0"/>
          <w:color w:val="000000"/>
          <w:spacing w:val="0"/>
          <w:sz w:val="32"/>
          <w:szCs w:val="32"/>
          <w:highlight w:val="none"/>
          <w:shd w:val="clear" w:fill="FFFFFF"/>
        </w:rPr>
        <w:t>202</w:t>
      </w:r>
      <w:r>
        <w:rPr>
          <w:rFonts w:hint="eastAsia" w:ascii="仿宋_GB2312" w:hAnsi="仿宋_GB2312" w:eastAsia="仿宋_GB2312" w:cs="仿宋_GB2312"/>
          <w:i w:val="0"/>
          <w:iCs w:val="0"/>
          <w:caps w:val="0"/>
          <w:color w:val="000000"/>
          <w:spacing w:val="0"/>
          <w:sz w:val="32"/>
          <w:szCs w:val="32"/>
          <w:highlight w:val="none"/>
          <w:shd w:val="clear" w:fill="FFFFFF"/>
          <w:lang w:val="en-US" w:eastAsia="zh-CN"/>
        </w:rPr>
        <w:t>3</w:t>
      </w:r>
      <w:r>
        <w:rPr>
          <w:rFonts w:hint="default" w:ascii="仿宋_GB2312" w:hAnsi="仿宋_GB2312" w:eastAsia="仿宋_GB2312" w:cs="仿宋_GB2312"/>
          <w:i w:val="0"/>
          <w:iCs w:val="0"/>
          <w:caps w:val="0"/>
          <w:color w:val="000000"/>
          <w:spacing w:val="0"/>
          <w:sz w:val="32"/>
          <w:szCs w:val="32"/>
          <w:highlight w:val="none"/>
          <w:shd w:val="clear" w:fill="FFFFFF"/>
        </w:rPr>
        <w:t>年全年通过微信公众号推送信息</w:t>
      </w:r>
      <w:r>
        <w:rPr>
          <w:rFonts w:hint="eastAsia" w:ascii="仿宋_GB2312" w:hAnsi="仿宋_GB2312" w:eastAsia="仿宋_GB2312" w:cs="仿宋_GB2312"/>
          <w:i w:val="0"/>
          <w:iCs w:val="0"/>
          <w:caps w:val="0"/>
          <w:color w:val="000000"/>
          <w:spacing w:val="0"/>
          <w:sz w:val="32"/>
          <w:szCs w:val="32"/>
          <w:highlight w:val="none"/>
          <w:shd w:val="clear" w:fill="FFFFFF"/>
          <w:lang w:val="en-US" w:eastAsia="zh-CN"/>
        </w:rPr>
        <w:t>1268</w:t>
      </w:r>
      <w:r>
        <w:rPr>
          <w:rFonts w:hint="default" w:ascii="仿宋_GB2312" w:hAnsi="仿宋_GB2312" w:eastAsia="仿宋_GB2312" w:cs="仿宋_GB2312"/>
          <w:i w:val="0"/>
          <w:iCs w:val="0"/>
          <w:caps w:val="0"/>
          <w:color w:val="000000"/>
          <w:spacing w:val="0"/>
          <w:sz w:val="32"/>
          <w:szCs w:val="32"/>
          <w:highlight w:val="none"/>
          <w:shd w:val="clear" w:fill="FFFFFF"/>
        </w:rPr>
        <w:t>余条，通过</w:t>
      </w:r>
      <w:r>
        <w:rPr>
          <w:rFonts w:hint="eastAsia" w:ascii="仿宋_GB2312" w:hAnsi="仿宋_GB2312" w:eastAsia="仿宋_GB2312" w:cs="仿宋_GB2312"/>
          <w:i w:val="0"/>
          <w:iCs w:val="0"/>
          <w:caps w:val="0"/>
          <w:color w:val="000000"/>
          <w:spacing w:val="0"/>
          <w:sz w:val="32"/>
          <w:szCs w:val="32"/>
          <w:highlight w:val="none"/>
          <w:shd w:val="clear" w:fill="FFFFFF"/>
        </w:rPr>
        <w:t>滕州</w:t>
      </w:r>
      <w:r>
        <w:rPr>
          <w:rFonts w:hint="eastAsia" w:ascii="仿宋_GB2312" w:hAnsi="仿宋_GB2312" w:eastAsia="仿宋_GB2312" w:cs="仿宋_GB2312"/>
          <w:i w:val="0"/>
          <w:iCs w:val="0"/>
          <w:caps w:val="0"/>
          <w:color w:val="000000"/>
          <w:spacing w:val="0"/>
          <w:sz w:val="32"/>
          <w:szCs w:val="32"/>
          <w:highlight w:val="none"/>
          <w:shd w:val="clear" w:fill="FFFFFF"/>
          <w:lang w:val="en-US" w:eastAsia="zh-CN"/>
        </w:rPr>
        <w:t>政府</w:t>
      </w:r>
      <w:r>
        <w:rPr>
          <w:rFonts w:hint="eastAsia" w:ascii="仿宋_GB2312" w:hAnsi="仿宋_GB2312" w:eastAsia="仿宋_GB2312" w:cs="仿宋_GB2312"/>
          <w:i w:val="0"/>
          <w:iCs w:val="0"/>
          <w:caps w:val="0"/>
          <w:color w:val="000000"/>
          <w:spacing w:val="0"/>
          <w:sz w:val="32"/>
          <w:szCs w:val="32"/>
          <w:highlight w:val="none"/>
          <w:shd w:val="clear" w:fill="FFFFFF"/>
        </w:rPr>
        <w:t>信息公开</w:t>
      </w:r>
      <w:r>
        <w:rPr>
          <w:rFonts w:hint="eastAsia" w:ascii="仿宋_GB2312" w:hAnsi="仿宋_GB2312" w:eastAsia="仿宋_GB2312" w:cs="仿宋_GB2312"/>
          <w:i w:val="0"/>
          <w:iCs w:val="0"/>
          <w:caps w:val="0"/>
          <w:color w:val="000000"/>
          <w:spacing w:val="0"/>
          <w:sz w:val="32"/>
          <w:szCs w:val="32"/>
          <w:highlight w:val="none"/>
          <w:shd w:val="clear" w:fill="FFFFFF"/>
          <w:lang w:val="en-US" w:eastAsia="zh-CN"/>
        </w:rPr>
        <w:t>页面</w:t>
      </w:r>
      <w:r>
        <w:rPr>
          <w:rFonts w:hint="default" w:ascii="仿宋_GB2312" w:hAnsi="仿宋_GB2312" w:eastAsia="仿宋_GB2312" w:cs="仿宋_GB2312"/>
          <w:i w:val="0"/>
          <w:iCs w:val="0"/>
          <w:caps w:val="0"/>
          <w:color w:val="000000"/>
          <w:spacing w:val="0"/>
          <w:sz w:val="32"/>
          <w:szCs w:val="32"/>
          <w:highlight w:val="none"/>
          <w:shd w:val="clear" w:fill="FFFFFF"/>
        </w:rPr>
        <w:t>主动公开政府信息数2</w:t>
      </w:r>
      <w:r>
        <w:rPr>
          <w:rFonts w:hint="eastAsia" w:ascii="仿宋_GB2312" w:hAnsi="仿宋_GB2312" w:eastAsia="仿宋_GB2312" w:cs="仿宋_GB2312"/>
          <w:i w:val="0"/>
          <w:iCs w:val="0"/>
          <w:caps w:val="0"/>
          <w:color w:val="000000"/>
          <w:spacing w:val="0"/>
          <w:sz w:val="32"/>
          <w:szCs w:val="32"/>
          <w:highlight w:val="none"/>
          <w:shd w:val="clear" w:fill="FFFFFF"/>
          <w:lang w:val="en-US" w:eastAsia="zh-CN"/>
        </w:rPr>
        <w:t>8</w:t>
      </w:r>
      <w:r>
        <w:rPr>
          <w:rFonts w:hint="default" w:ascii="仿宋_GB2312" w:hAnsi="仿宋_GB2312" w:eastAsia="仿宋_GB2312" w:cs="仿宋_GB2312"/>
          <w:i w:val="0"/>
          <w:iCs w:val="0"/>
          <w:caps w:val="0"/>
          <w:color w:val="000000"/>
          <w:spacing w:val="0"/>
          <w:sz w:val="32"/>
          <w:szCs w:val="32"/>
          <w:highlight w:val="none"/>
          <w:shd w:val="clear" w:fill="FFFFFF"/>
        </w:rPr>
        <w:t>条，其中，通知公告</w:t>
      </w:r>
      <w:r>
        <w:rPr>
          <w:rFonts w:hint="eastAsia" w:ascii="仿宋_GB2312" w:hAnsi="仿宋_GB2312" w:eastAsia="仿宋_GB2312" w:cs="仿宋_GB2312"/>
          <w:i w:val="0"/>
          <w:iCs w:val="0"/>
          <w:caps w:val="0"/>
          <w:color w:val="000000"/>
          <w:spacing w:val="0"/>
          <w:sz w:val="32"/>
          <w:szCs w:val="32"/>
          <w:highlight w:val="none"/>
          <w:shd w:val="clear" w:fill="FFFFFF"/>
          <w:lang w:val="en-US" w:eastAsia="zh-CN"/>
        </w:rPr>
        <w:t>10</w:t>
      </w:r>
      <w:r>
        <w:rPr>
          <w:rFonts w:hint="default" w:ascii="仿宋_GB2312" w:hAnsi="仿宋_GB2312" w:eastAsia="仿宋_GB2312" w:cs="仿宋_GB2312"/>
          <w:i w:val="0"/>
          <w:iCs w:val="0"/>
          <w:caps w:val="0"/>
          <w:color w:val="000000"/>
          <w:spacing w:val="0"/>
          <w:sz w:val="32"/>
          <w:szCs w:val="32"/>
          <w:highlight w:val="none"/>
          <w:shd w:val="clear" w:fill="FFFFFF"/>
        </w:rPr>
        <w:t>条，政策文件</w:t>
      </w:r>
      <w:r>
        <w:rPr>
          <w:rFonts w:hint="eastAsia" w:ascii="仿宋_GB2312" w:hAnsi="仿宋_GB2312" w:eastAsia="仿宋_GB2312" w:cs="仿宋_GB2312"/>
          <w:i w:val="0"/>
          <w:iCs w:val="0"/>
          <w:caps w:val="0"/>
          <w:color w:val="000000"/>
          <w:spacing w:val="0"/>
          <w:sz w:val="32"/>
          <w:szCs w:val="32"/>
          <w:highlight w:val="none"/>
          <w:shd w:val="clear" w:fill="FFFFFF"/>
          <w:lang w:val="en-US" w:eastAsia="zh-CN"/>
        </w:rPr>
        <w:t>6</w:t>
      </w:r>
      <w:r>
        <w:rPr>
          <w:rFonts w:hint="default" w:ascii="仿宋_GB2312" w:hAnsi="仿宋_GB2312" w:eastAsia="仿宋_GB2312" w:cs="仿宋_GB2312"/>
          <w:i w:val="0"/>
          <w:iCs w:val="0"/>
          <w:caps w:val="0"/>
          <w:color w:val="000000"/>
          <w:spacing w:val="0"/>
          <w:sz w:val="32"/>
          <w:szCs w:val="32"/>
          <w:highlight w:val="none"/>
          <w:shd w:val="clear" w:fill="FFFFFF"/>
        </w:rPr>
        <w:t>条，</w:t>
      </w:r>
      <w:r>
        <w:rPr>
          <w:rFonts w:hint="eastAsia" w:ascii="仿宋_GB2312" w:hAnsi="仿宋_GB2312" w:eastAsia="仿宋_GB2312" w:cs="仿宋_GB2312"/>
          <w:i w:val="0"/>
          <w:iCs w:val="0"/>
          <w:caps w:val="0"/>
          <w:color w:val="000000"/>
          <w:spacing w:val="0"/>
          <w:sz w:val="32"/>
          <w:szCs w:val="32"/>
          <w:highlight w:val="none"/>
          <w:shd w:val="clear" w:fill="FFFFFF"/>
          <w:lang w:val="en-US" w:eastAsia="zh-CN"/>
        </w:rPr>
        <w:t>组织管理8条，</w:t>
      </w:r>
      <w:r>
        <w:rPr>
          <w:rFonts w:hint="default" w:ascii="仿宋_GB2312" w:hAnsi="仿宋_GB2312" w:eastAsia="仿宋_GB2312" w:cs="仿宋_GB2312"/>
          <w:i w:val="0"/>
          <w:iCs w:val="0"/>
          <w:caps w:val="0"/>
          <w:color w:val="000000"/>
          <w:spacing w:val="0"/>
          <w:sz w:val="32"/>
          <w:szCs w:val="32"/>
          <w:highlight w:val="none"/>
          <w:shd w:val="clear" w:fill="FFFFFF"/>
        </w:rPr>
        <w:t>规划计划2条，公开基本目录2条</w:t>
      </w:r>
      <w:r>
        <w:rPr>
          <w:rFonts w:hint="eastAsia" w:ascii="仿宋_GB2312" w:hAnsi="仿宋_GB2312" w:eastAsia="仿宋_GB2312" w:cs="仿宋_GB2312"/>
          <w:i w:val="0"/>
          <w:iCs w:val="0"/>
          <w:caps w:val="0"/>
          <w:color w:val="000000"/>
          <w:spacing w:val="0"/>
          <w:sz w:val="32"/>
          <w:szCs w:val="32"/>
          <w:highlight w:val="none"/>
          <w:shd w:val="clear" w:fill="FFFFFF"/>
          <w:lang w:eastAsia="zh-CN"/>
        </w:rPr>
        <w:t>。</w:t>
      </w:r>
    </w:p>
    <w:p>
      <w:pPr>
        <w:autoSpaceDN w:val="0"/>
        <w:spacing w:line="195" w:lineRule="atLeast"/>
        <w:jc w:val="center"/>
        <w:rPr>
          <w:rFonts w:hint="eastAsia" w:ascii="仿宋_GB2312" w:hAnsi="仿宋_GB2312" w:eastAsia="仿宋_GB2312" w:cs="仿宋_GB2312"/>
          <w:color w:val="000000"/>
          <w:sz w:val="32"/>
          <w:szCs w:val="32"/>
          <w:shd w:val="clear" w:color="auto" w:fill="FFFFFF"/>
        </w:rPr>
      </w:pPr>
      <w:r>
        <w:rPr>
          <w:rFonts w:hint="eastAsia" w:ascii="仿宋_GB2312" w:hAnsi="sans-serif" w:eastAsia="仿宋_GB2312" w:cs="仿宋_GB2312"/>
          <w:color w:val="000000"/>
          <w:sz w:val="32"/>
          <w:szCs w:val="32"/>
          <w:highlight w:val="none"/>
          <w:lang w:eastAsia="zh-CN"/>
        </w:rPr>
        <w:drawing>
          <wp:inline distT="0" distB="0" distL="114300" distR="114300">
            <wp:extent cx="5311140" cy="2534920"/>
            <wp:effectExtent l="0" t="0" r="3810" b="17780"/>
            <wp:docPr id="5" name="图片 5" descr="截图_选择区域_2024012310105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截图_选择区域_20240123101058"/>
                    <pic:cNvPicPr>
                      <a:picLocks noChangeAspect="true"/>
                    </pic:cNvPicPr>
                  </pic:nvPicPr>
                  <pic:blipFill>
                    <a:blip r:embed="rId6"/>
                    <a:stretch>
                      <a:fillRect/>
                    </a:stretch>
                  </pic:blipFill>
                  <pic:spPr>
                    <a:xfrm>
                      <a:off x="0" y="0"/>
                      <a:ext cx="5311140" cy="2534920"/>
                    </a:xfrm>
                    <a:prstGeom prst="rect">
                      <a:avLst/>
                    </a:prstGeom>
                  </pic:spPr>
                </pic:pic>
              </a:graphicData>
            </a:graphic>
          </wp:inline>
        </w:drawing>
      </w:r>
      <w:r>
        <w:rPr>
          <w:rFonts w:hint="eastAsia" w:ascii="仿宋_GB2312" w:hAnsi="sans-serif" w:eastAsia="仿宋_GB2312" w:cs="仿宋_GB2312"/>
          <w:color w:val="000000"/>
          <w:sz w:val="32"/>
          <w:szCs w:val="32"/>
          <w:highlight w:val="none"/>
          <w:lang w:eastAsia="zh-CN"/>
        </w:rPr>
        <w:t>柴胡店镇</w:t>
      </w:r>
      <w:r>
        <w:rPr>
          <w:rFonts w:hint="eastAsia" w:ascii="仿宋_GB2312" w:hAnsi="仿宋_GB2312" w:eastAsia="仿宋_GB2312" w:cs="仿宋_GB2312"/>
          <w:color w:val="000000"/>
          <w:sz w:val="32"/>
          <w:szCs w:val="32"/>
          <w:shd w:val="clear" w:color="auto" w:fill="FFFFFF"/>
        </w:rPr>
        <w:t>政务信息公开网站</w:t>
      </w:r>
    </w:p>
    <w:p>
      <w:pPr>
        <w:autoSpaceDN w:val="0"/>
        <w:spacing w:line="195" w:lineRule="atLeast"/>
        <w:jc w:val="center"/>
        <w:rPr>
          <w:rFonts w:hint="eastAsia" w:ascii="仿宋_GB2312" w:hAnsi="仿宋_GB2312" w:eastAsia="仿宋_GB2312" w:cs="仿宋_GB2312"/>
          <w:color w:val="000000"/>
          <w:sz w:val="32"/>
          <w:szCs w:val="32"/>
          <w:shd w:val="clear" w:color="auto" w:fill="FFFFFF"/>
          <w:lang w:eastAsia="zh-CN"/>
        </w:rPr>
      </w:pPr>
      <w:r>
        <w:rPr>
          <w:rFonts w:hint="eastAsia" w:ascii="仿宋_GB2312" w:hAnsi="仿宋_GB2312" w:eastAsia="仿宋_GB2312" w:cs="仿宋_GB2312"/>
          <w:color w:val="000000"/>
          <w:sz w:val="32"/>
          <w:szCs w:val="32"/>
          <w:shd w:val="clear" w:color="auto" w:fill="FFFFFF"/>
          <w:lang w:eastAsia="zh-CN"/>
        </w:rPr>
        <w:drawing>
          <wp:inline distT="0" distB="0" distL="114300" distR="114300">
            <wp:extent cx="4972685" cy="4338955"/>
            <wp:effectExtent l="0" t="0" r="18415" b="4445"/>
            <wp:docPr id="8" name="图片 8" descr="截图_选择区域_2024012309570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 descr="截图_选择区域_20240123095706"/>
                    <pic:cNvPicPr>
                      <a:picLocks noChangeAspect="true"/>
                    </pic:cNvPicPr>
                  </pic:nvPicPr>
                  <pic:blipFill>
                    <a:blip r:embed="rId7"/>
                    <a:stretch>
                      <a:fillRect/>
                    </a:stretch>
                  </pic:blipFill>
                  <pic:spPr>
                    <a:xfrm>
                      <a:off x="0" y="0"/>
                      <a:ext cx="4972685" cy="4338955"/>
                    </a:xfrm>
                    <a:prstGeom prst="rect">
                      <a:avLst/>
                    </a:prstGeom>
                  </pic:spPr>
                </pic:pic>
              </a:graphicData>
            </a:graphic>
          </wp:inline>
        </w:drawing>
      </w:r>
    </w:p>
    <w:p>
      <w:pPr>
        <w:autoSpaceDN w:val="0"/>
        <w:spacing w:line="195" w:lineRule="atLeast"/>
        <w:jc w:val="center"/>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eastAsia="zh-CN"/>
        </w:rPr>
        <w:t>柴胡店镇政府</w:t>
      </w:r>
      <w:r>
        <w:rPr>
          <w:rFonts w:hint="eastAsia" w:ascii="仿宋_GB2312" w:hAnsi="仿宋_GB2312" w:eastAsia="仿宋_GB2312" w:cs="仿宋_GB2312"/>
          <w:color w:val="000000"/>
          <w:sz w:val="32"/>
          <w:szCs w:val="32"/>
          <w:shd w:val="clear" w:color="auto" w:fill="FFFFFF"/>
        </w:rPr>
        <w:t>门户网站</w:t>
      </w:r>
    </w:p>
    <w:p>
      <w:pPr>
        <w:autoSpaceDN w:val="0"/>
        <w:spacing w:line="195" w:lineRule="atLeast"/>
        <w:jc w:val="center"/>
        <w:rPr>
          <w:rFonts w:hint="eastAsia" w:ascii="仿宋_GB2312" w:hAnsi="仿宋_GB2312" w:eastAsia="仿宋_GB2312" w:cs="仿宋_GB2312"/>
          <w:color w:val="000000"/>
          <w:sz w:val="32"/>
          <w:szCs w:val="32"/>
          <w:shd w:val="clear" w:color="auto" w:fill="FFFFFF"/>
          <w:lang w:eastAsia="zh-CN"/>
        </w:rPr>
      </w:pPr>
      <w:r>
        <w:rPr>
          <w:rFonts w:hint="eastAsia" w:ascii="仿宋_GB2312" w:hAnsi="仿宋_GB2312" w:eastAsia="仿宋_GB2312" w:cs="仿宋_GB2312"/>
          <w:color w:val="000000"/>
          <w:sz w:val="32"/>
          <w:szCs w:val="32"/>
          <w:shd w:val="clear" w:color="auto" w:fill="FFFFFF"/>
          <w:lang w:eastAsia="zh-CN"/>
        </w:rPr>
        <w:drawing>
          <wp:inline distT="0" distB="0" distL="114300" distR="114300">
            <wp:extent cx="3436620" cy="5133340"/>
            <wp:effectExtent l="0" t="0" r="0" b="10160"/>
            <wp:docPr id="9" name="图片 9" descr="柴胡店镇微讯"/>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9" descr="柴胡店镇微讯"/>
                    <pic:cNvPicPr>
                      <a:picLocks noChangeAspect="true"/>
                    </pic:cNvPicPr>
                  </pic:nvPicPr>
                  <pic:blipFill>
                    <a:blip r:embed="rId8"/>
                    <a:srcRect l="1636" t="9895" r="-1636" b="8288"/>
                    <a:stretch>
                      <a:fillRect/>
                    </a:stretch>
                  </pic:blipFill>
                  <pic:spPr>
                    <a:xfrm>
                      <a:off x="0" y="0"/>
                      <a:ext cx="3436620" cy="5133340"/>
                    </a:xfrm>
                    <a:prstGeom prst="rect">
                      <a:avLst/>
                    </a:prstGeom>
                  </pic:spPr>
                </pic:pic>
              </a:graphicData>
            </a:graphic>
          </wp:inline>
        </w:drawing>
      </w:r>
      <w:bookmarkStart w:id="10" w:name="_GoBack"/>
      <w:bookmarkEnd w:id="10"/>
    </w:p>
    <w:p>
      <w:pPr>
        <w:pStyle w:val="5"/>
        <w:widowControl/>
        <w:numPr>
          <w:ilvl w:val="0"/>
          <w:numId w:val="0"/>
        </w:numPr>
        <w:spacing w:beforeAutospacing="0" w:afterAutospacing="0" w:line="240" w:lineRule="auto"/>
        <w:jc w:val="center"/>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color w:val="000000"/>
          <w:sz w:val="32"/>
          <w:szCs w:val="32"/>
          <w:shd w:val="clear" w:color="auto" w:fill="FFFFFF"/>
          <w:lang w:eastAsia="zh-CN"/>
        </w:rPr>
        <w:t>柴胡店镇微讯</w:t>
      </w:r>
      <w:r>
        <w:rPr>
          <w:rFonts w:ascii="仿宋_GB2312" w:hAnsi="仿宋_GB2312" w:eastAsia="仿宋_GB2312" w:cs="仿宋_GB2312"/>
          <w:color w:val="000000"/>
          <w:sz w:val="32"/>
          <w:szCs w:val="32"/>
          <w:shd w:val="clear" w:color="auto" w:fill="FFFFFF"/>
        </w:rPr>
        <w:t>”官方公众号</w:t>
      </w:r>
    </w:p>
    <w:p>
      <w:pPr>
        <w:pStyle w:val="5"/>
        <w:widowControl/>
        <w:spacing w:beforeAutospacing="0" w:afterAutospacing="0" w:line="600" w:lineRule="exact"/>
        <w:ind w:firstLine="555"/>
        <w:jc w:val="both"/>
        <w:rPr>
          <w:rFonts w:ascii="楷体_GB2312" w:hAnsi="楷体_GB2312" w:eastAsia="楷体_GB2312" w:cs="楷体_GB2312"/>
          <w:color w:val="000000"/>
          <w:sz w:val="32"/>
          <w:szCs w:val="32"/>
        </w:rPr>
      </w:pPr>
      <w:r>
        <w:rPr>
          <w:rFonts w:ascii="楷体_GB2312" w:hAnsi="楷体_GB2312" w:eastAsia="楷体_GB2312" w:cs="楷体_GB2312"/>
          <w:color w:val="000000"/>
          <w:sz w:val="32"/>
          <w:szCs w:val="32"/>
        </w:rPr>
        <w:t>（二）依申请公开政府信息情况</w:t>
      </w:r>
    </w:p>
    <w:p>
      <w:pPr>
        <w:pStyle w:val="5"/>
        <w:widowControl/>
        <w:spacing w:beforeAutospacing="0" w:afterAutospacing="0" w:line="600" w:lineRule="exact"/>
        <w:ind w:firstLine="555"/>
        <w:jc w:val="both"/>
        <w:rPr>
          <w:rFonts w:hint="eastAsia" w:ascii="仿宋_GB2312" w:hAnsi="sans-serif" w:eastAsia="仿宋_GB2312" w:cs="仿宋_GB2312"/>
          <w:color w:val="000000"/>
          <w:sz w:val="32"/>
          <w:szCs w:val="32"/>
        </w:rPr>
      </w:pPr>
      <w:r>
        <w:rPr>
          <w:rFonts w:hint="eastAsia" w:ascii="仿宋_GB2312" w:hAnsi="sans-serif" w:eastAsia="仿宋_GB2312" w:cs="仿宋_GB2312"/>
          <w:color w:val="000000"/>
          <w:sz w:val="32"/>
          <w:szCs w:val="32"/>
        </w:rPr>
        <w:t>坚持“归口办理、依法有据、严谨规范、慎重稳妥”的原则，完善受理、审查、处理、答复以及保存备查等各环节流程,保证依申请公开流程科学、程序合法、答复规范，示范指引，真正提升效能、服务于民。</w:t>
      </w:r>
    </w:p>
    <w:p>
      <w:pPr>
        <w:pStyle w:val="5"/>
        <w:widowControl/>
        <w:spacing w:beforeAutospacing="0" w:afterAutospacing="0" w:line="600" w:lineRule="exact"/>
        <w:ind w:firstLine="555"/>
        <w:jc w:val="both"/>
        <w:rPr>
          <w:rFonts w:hint="default" w:ascii="仿宋_GB2312" w:hAnsi="sans-serif" w:eastAsia="仿宋_GB2312" w:cs="仿宋_GB2312"/>
          <w:color w:val="000000"/>
          <w:sz w:val="32"/>
          <w:szCs w:val="32"/>
          <w:lang w:val="en-US" w:eastAsia="zh-CN"/>
        </w:rPr>
      </w:pPr>
      <w:r>
        <w:rPr>
          <w:rFonts w:hint="eastAsia" w:ascii="仿宋_GB2312" w:hAnsi="sans-serif" w:eastAsia="仿宋_GB2312" w:cs="仿宋_GB2312"/>
          <w:color w:val="000000"/>
          <w:sz w:val="32"/>
          <w:szCs w:val="32"/>
        </w:rPr>
        <w:t>202</w:t>
      </w:r>
      <w:r>
        <w:rPr>
          <w:rFonts w:hint="eastAsia" w:ascii="仿宋_GB2312" w:hAnsi="sans-serif" w:eastAsia="仿宋_GB2312" w:cs="仿宋_GB2312"/>
          <w:color w:val="000000"/>
          <w:sz w:val="32"/>
          <w:szCs w:val="32"/>
          <w:lang w:val="en-US" w:eastAsia="zh-CN"/>
        </w:rPr>
        <w:t>3</w:t>
      </w:r>
      <w:r>
        <w:rPr>
          <w:rFonts w:hint="eastAsia" w:ascii="仿宋_GB2312" w:hAnsi="sans-serif" w:eastAsia="仿宋_GB2312" w:cs="仿宋_GB2312"/>
          <w:color w:val="000000"/>
          <w:sz w:val="32"/>
          <w:szCs w:val="32"/>
        </w:rPr>
        <w:t>年</w:t>
      </w:r>
      <w:r>
        <w:rPr>
          <w:rFonts w:hint="eastAsia" w:ascii="仿宋_GB2312" w:hAnsi="sans-serif" w:eastAsia="仿宋_GB2312" w:cs="仿宋_GB2312"/>
          <w:color w:val="000000"/>
          <w:sz w:val="32"/>
          <w:szCs w:val="32"/>
          <w:lang w:val="en-US" w:eastAsia="zh-CN"/>
        </w:rPr>
        <w:t>柴胡店</w:t>
      </w:r>
      <w:r>
        <w:rPr>
          <w:rFonts w:hint="eastAsia" w:ascii="仿宋_GB2312" w:hAnsi="sans-serif" w:eastAsia="仿宋_GB2312" w:cs="仿宋_GB2312"/>
          <w:color w:val="000000"/>
          <w:sz w:val="32"/>
          <w:szCs w:val="32"/>
        </w:rPr>
        <w:t>镇</w:t>
      </w:r>
      <w:r>
        <w:rPr>
          <w:rFonts w:hint="eastAsia" w:ascii="仿宋_GB2312" w:hAnsi="sans-serif" w:eastAsia="仿宋_GB2312" w:cs="仿宋_GB2312"/>
          <w:color w:val="000000"/>
          <w:sz w:val="32"/>
          <w:szCs w:val="32"/>
          <w:lang w:val="en-US" w:eastAsia="zh-CN"/>
        </w:rPr>
        <w:t>未接到政府信息依申请公开，未产生因政府信息公开引发的行政复议和行政诉讼。2022年也未接到政府信息依申请公开，故相较无变化。</w:t>
      </w:r>
    </w:p>
    <w:p>
      <w:pPr>
        <w:pStyle w:val="5"/>
        <w:widowControl/>
        <w:spacing w:beforeAutospacing="0" w:afterAutospacing="0" w:line="600" w:lineRule="exact"/>
        <w:ind w:firstLine="555"/>
        <w:jc w:val="both"/>
        <w:rPr>
          <w:rFonts w:ascii="楷体_GB2312" w:hAnsi="楷体_GB2312" w:eastAsia="楷体_GB2312" w:cs="楷体_GB2312"/>
          <w:color w:val="000000"/>
          <w:sz w:val="32"/>
          <w:szCs w:val="32"/>
        </w:rPr>
      </w:pPr>
      <w:r>
        <w:rPr>
          <w:rFonts w:ascii="楷体_GB2312" w:hAnsi="楷体_GB2312" w:eastAsia="楷体_GB2312" w:cs="楷体_GB2312"/>
          <w:color w:val="000000"/>
          <w:sz w:val="32"/>
          <w:szCs w:val="32"/>
        </w:rPr>
        <w:t>（三）政府信息管理情况</w:t>
      </w:r>
    </w:p>
    <w:p>
      <w:pPr>
        <w:pStyle w:val="5"/>
        <w:widowControl/>
        <w:spacing w:beforeAutospacing="0" w:afterAutospacing="0" w:line="600" w:lineRule="exact"/>
        <w:ind w:firstLine="555"/>
        <w:jc w:val="both"/>
        <w:rPr>
          <w:rFonts w:ascii="仿宋_GB2312" w:hAnsi="sans-serif" w:eastAsia="仿宋_GB2312" w:cs="仿宋_GB2312"/>
          <w:color w:val="000000"/>
          <w:sz w:val="32"/>
          <w:szCs w:val="32"/>
        </w:rPr>
      </w:pPr>
      <w:r>
        <w:rPr>
          <w:rFonts w:hint="eastAsia" w:ascii="仿宋_GB2312" w:hAnsi="sans-serif" w:eastAsia="仿宋_GB2312" w:cs="仿宋_GB2312"/>
          <w:color w:val="000000"/>
          <w:sz w:val="32"/>
          <w:szCs w:val="32"/>
          <w:highlight w:val="none"/>
          <w:lang w:val="en-US" w:eastAsia="zh-CN"/>
        </w:rPr>
        <w:t>及时更新和调整本</w:t>
      </w:r>
      <w:r>
        <w:rPr>
          <w:rFonts w:hint="eastAsia" w:ascii="仿宋_GB2312" w:hAnsi="sans-serif" w:eastAsia="仿宋_GB2312" w:cs="仿宋_GB2312"/>
          <w:color w:val="000000"/>
          <w:sz w:val="32"/>
          <w:szCs w:val="32"/>
          <w:highlight w:val="none"/>
          <w:lang w:eastAsia="zh-CN"/>
        </w:rPr>
        <w:t>单位的</w:t>
      </w:r>
      <w:r>
        <w:rPr>
          <w:rFonts w:ascii="仿宋_GB2312" w:hAnsi="sans-serif" w:eastAsia="仿宋_GB2312" w:cs="仿宋_GB2312"/>
          <w:color w:val="000000"/>
          <w:sz w:val="32"/>
          <w:szCs w:val="32"/>
          <w:highlight w:val="none"/>
        </w:rPr>
        <w:t>信息公开工作领导小组</w:t>
      </w:r>
      <w:r>
        <w:rPr>
          <w:rFonts w:hint="eastAsia" w:ascii="仿宋_GB2312" w:hAnsi="sans-serif" w:eastAsia="仿宋_GB2312" w:cs="仿宋_GB2312"/>
          <w:color w:val="000000"/>
          <w:sz w:val="32"/>
          <w:szCs w:val="32"/>
          <w:highlight w:val="none"/>
          <w:lang w:eastAsia="zh-CN"/>
        </w:rPr>
        <w:t>，</w:t>
      </w:r>
      <w:r>
        <w:rPr>
          <w:rFonts w:ascii="仿宋_GB2312" w:hAnsi="sans-serif" w:eastAsia="仿宋_GB2312" w:cs="仿宋_GB2312"/>
          <w:color w:val="000000"/>
          <w:sz w:val="32"/>
          <w:szCs w:val="32"/>
          <w:highlight w:val="none"/>
        </w:rPr>
        <w:t>加</w:t>
      </w:r>
      <w:r>
        <w:rPr>
          <w:rFonts w:ascii="仿宋_GB2312" w:hAnsi="sans-serif" w:eastAsia="仿宋_GB2312" w:cs="仿宋_GB2312"/>
          <w:color w:val="000000"/>
          <w:sz w:val="32"/>
          <w:szCs w:val="32"/>
        </w:rPr>
        <w:t>强政府信息管理，规范信息发布程序和渠道，不断完善本部门政府信息发布审核机制，切实做好信息属性源头认定，确保发布及时、准确、安全，对主动公开信息进行严格审核、层层把关。同时积极探索以多种形式开展政务公开，形成全社会关注、全民参与安全生产的浓厚氛围。</w:t>
      </w:r>
    </w:p>
    <w:p>
      <w:pPr>
        <w:pStyle w:val="5"/>
        <w:widowControl/>
        <w:spacing w:beforeAutospacing="0" w:afterAutospacing="0" w:line="600" w:lineRule="exact"/>
        <w:ind w:firstLine="640" w:firstLineChars="200"/>
        <w:jc w:val="both"/>
        <w:rPr>
          <w:rFonts w:ascii="楷体_GB2312" w:hAnsi="楷体_GB2312" w:eastAsia="楷体_GB2312" w:cs="楷体_GB2312"/>
          <w:color w:val="000000"/>
          <w:sz w:val="32"/>
          <w:szCs w:val="32"/>
        </w:rPr>
      </w:pPr>
      <w:r>
        <w:rPr>
          <w:rFonts w:ascii="楷体_GB2312" w:hAnsi="楷体_GB2312" w:eastAsia="楷体_GB2312" w:cs="楷体_GB2312"/>
          <w:color w:val="000000"/>
          <w:sz w:val="32"/>
          <w:szCs w:val="32"/>
        </w:rPr>
        <w:t>（四）公开平台建设情况</w:t>
      </w:r>
    </w:p>
    <w:p>
      <w:pPr>
        <w:shd w:val="clear" w:color="auto" w:fill="FFFFFF"/>
        <w:adjustRightInd/>
        <w:snapToGrid/>
        <w:spacing w:after="0" w:line="555" w:lineRule="atLeast"/>
        <w:ind w:firstLine="640" w:firstLineChars="200"/>
        <w:jc w:val="both"/>
        <w:rPr>
          <w:rFonts w:ascii="仿宋_GB2312" w:hAnsi="sans-serif" w:eastAsia="仿宋_GB2312" w:cs="仿宋_GB2312"/>
          <w:color w:val="000000"/>
          <w:sz w:val="32"/>
          <w:szCs w:val="32"/>
          <w:lang w:val="en-US" w:eastAsia="zh-CN" w:bidi="ar-SA"/>
        </w:rPr>
      </w:pPr>
      <w:r>
        <w:rPr>
          <w:rFonts w:hint="eastAsia" w:ascii="仿宋_GB2312" w:hAnsi="sans-serif" w:eastAsia="仿宋_GB2312" w:cs="仿宋_GB2312"/>
          <w:color w:val="000000"/>
          <w:sz w:val="32"/>
          <w:szCs w:val="32"/>
          <w:lang w:val="en-US" w:eastAsia="zh-CN" w:bidi="ar-SA"/>
        </w:rPr>
        <w:t>柴胡店</w:t>
      </w:r>
      <w:r>
        <w:rPr>
          <w:rFonts w:ascii="仿宋_GB2312" w:hAnsi="sans-serif" w:eastAsia="仿宋_GB2312" w:cs="仿宋_GB2312"/>
          <w:color w:val="000000"/>
          <w:sz w:val="32"/>
          <w:szCs w:val="32"/>
          <w:lang w:val="en-US" w:eastAsia="zh-CN" w:bidi="ar-SA"/>
        </w:rPr>
        <w:t>镇根据滕州市统一部署，</w:t>
      </w:r>
      <w:r>
        <w:rPr>
          <w:rFonts w:hint="eastAsia" w:ascii="仿宋_GB2312" w:hAnsi="sans-serif" w:eastAsia="仿宋_GB2312" w:cs="仿宋_GB2312"/>
          <w:color w:val="000000"/>
          <w:sz w:val="32"/>
          <w:szCs w:val="32"/>
          <w:lang w:val="en-US" w:eastAsia="zh-CN" w:bidi="ar-SA"/>
        </w:rPr>
        <w:t>采取政府网站网上公开形式，定期更新和维护“柴胡店镇人民政府网站”</w:t>
      </w:r>
      <w:r>
        <w:rPr>
          <w:rFonts w:ascii="仿宋_GB2312" w:hAnsi="sans-serif" w:eastAsia="仿宋_GB2312" w:cs="仿宋_GB2312"/>
          <w:color w:val="000000"/>
          <w:sz w:val="32"/>
          <w:szCs w:val="32"/>
          <w:lang w:val="en-US" w:eastAsia="zh-CN" w:bidi="ar-SA"/>
        </w:rPr>
        <w:t>，通过网站及时向社会发布</w:t>
      </w:r>
      <w:r>
        <w:rPr>
          <w:rFonts w:hint="eastAsia" w:ascii="仿宋_GB2312" w:hAnsi="sans-serif" w:eastAsia="仿宋_GB2312" w:cs="仿宋_GB2312"/>
          <w:color w:val="000000"/>
          <w:sz w:val="32"/>
          <w:szCs w:val="32"/>
          <w:lang w:val="en-US" w:eastAsia="zh-CN" w:bidi="ar-SA"/>
        </w:rPr>
        <w:t>柴胡店镇的工作动态、通知公告等内容；同时对柴胡店镇人民政府微信公众号（柴胡店镇微讯）及时全面的面向社会推送柴胡店镇社会发展成果、活动通知、工作动态等。</w:t>
      </w:r>
    </w:p>
    <w:p>
      <w:pPr>
        <w:pStyle w:val="5"/>
        <w:widowControl/>
        <w:spacing w:beforeAutospacing="0" w:afterAutospacing="0" w:line="600" w:lineRule="exact"/>
        <w:ind w:firstLine="555"/>
        <w:jc w:val="both"/>
        <w:rPr>
          <w:rFonts w:ascii="楷体_GB2312" w:hAnsi="楷体_GB2312" w:eastAsia="楷体_GB2312" w:cs="楷体_GB2312"/>
          <w:color w:val="000000"/>
          <w:sz w:val="32"/>
          <w:szCs w:val="32"/>
        </w:rPr>
      </w:pPr>
      <w:r>
        <w:rPr>
          <w:rFonts w:ascii="楷体_GB2312" w:hAnsi="楷体_GB2312" w:eastAsia="楷体_GB2312" w:cs="楷体_GB2312"/>
          <w:color w:val="000000"/>
          <w:sz w:val="32"/>
          <w:szCs w:val="32"/>
        </w:rPr>
        <w:t>（五）监督保障情况</w:t>
      </w:r>
    </w:p>
    <w:p>
      <w:pPr>
        <w:shd w:val="clear" w:color="auto" w:fill="FFFFFF"/>
        <w:adjustRightInd/>
        <w:snapToGrid/>
        <w:spacing w:after="0" w:line="555" w:lineRule="atLeast"/>
        <w:ind w:firstLine="640" w:firstLineChars="200"/>
        <w:jc w:val="both"/>
        <w:rPr>
          <w:rFonts w:hint="eastAsia" w:ascii="仿宋_GB2312" w:hAnsi="宋体" w:eastAsia="仿宋_GB2312" w:cs="宋体"/>
          <w:color w:val="FF0000"/>
          <w:sz w:val="44"/>
          <w:szCs w:val="44"/>
          <w:highlight w:val="yellow"/>
          <w:lang w:val="en-US" w:eastAsia="zh-CN"/>
        </w:rPr>
      </w:pPr>
      <w:r>
        <w:rPr>
          <w:rFonts w:hint="eastAsia" w:ascii="仿宋_GB2312" w:hAnsi="宋体" w:eastAsia="仿宋_GB2312" w:cs="宋体"/>
          <w:color w:val="000000"/>
          <w:sz w:val="32"/>
          <w:szCs w:val="32"/>
          <w:lang w:eastAsia="zh-CN"/>
        </w:rPr>
        <w:t>本单位</w:t>
      </w:r>
      <w:r>
        <w:rPr>
          <w:rFonts w:hint="eastAsia" w:ascii="仿宋_GB2312" w:hAnsi="宋体" w:eastAsia="仿宋_GB2312" w:cs="宋体"/>
          <w:color w:val="000000"/>
          <w:sz w:val="32"/>
          <w:szCs w:val="32"/>
        </w:rPr>
        <w:t>遵循“谁主管、谁负责，谁公开、谁审查”的原则，</w:t>
      </w:r>
      <w:r>
        <w:rPr>
          <w:rFonts w:hint="eastAsia" w:ascii="仿宋_GB2312" w:hAnsi="宋体" w:eastAsia="仿宋_GB2312" w:cs="宋体"/>
          <w:color w:val="000000"/>
          <w:sz w:val="32"/>
          <w:szCs w:val="32"/>
          <w:lang w:val="en-US" w:eastAsia="zh-CN"/>
        </w:rPr>
        <w:t>建立了政府信息公开工作考核制度和责任追究制度，定期对政府信息公开工作进行考核、评议。扎实做好信息公开各项保障工作，严格信息发布流程，推进和规范政府信息公开工作。2023年，本单位未发生因信息公开审查不当或保密审查机构未履行保密审查职责而引起的失泄密情况。2023年度未进行社会评议，未发生责任追究情况。</w:t>
      </w:r>
    </w:p>
    <w:p>
      <w:pPr>
        <w:pStyle w:val="5"/>
        <w:numPr>
          <w:ilvl w:val="0"/>
          <w:numId w:val="0"/>
        </w:numPr>
        <w:shd w:val="clear" w:color="auto" w:fill="FFFFFF"/>
        <w:spacing w:beforeAutospacing="0" w:afterAutospacing="0" w:line="560" w:lineRule="exact"/>
        <w:ind w:firstLine="640" w:firstLineChars="200"/>
        <w:jc w:val="both"/>
        <w:rPr>
          <w:rFonts w:hint="eastAsia" w:ascii="黑体" w:hAnsi="黑体" w:eastAsia="黑体" w:cs="宋体"/>
          <w:color w:val="000000"/>
          <w:sz w:val="32"/>
          <w:szCs w:val="32"/>
          <w:highlight w:val="none"/>
        </w:rPr>
      </w:pPr>
      <w:r>
        <w:rPr>
          <w:rFonts w:hint="eastAsia" w:ascii="黑体" w:hAnsi="黑体" w:eastAsia="黑体" w:cs="宋体"/>
          <w:color w:val="000000"/>
          <w:sz w:val="32"/>
          <w:szCs w:val="32"/>
          <w:highlight w:val="none"/>
        </w:rPr>
        <w:t>二、主动公开政府信息情况</w:t>
      </w:r>
    </w:p>
    <w:tbl>
      <w:tblPr>
        <w:tblStyle w:val="6"/>
        <w:tblW w:w="8860" w:type="dxa"/>
        <w:tblInd w:w="0" w:type="dxa"/>
        <w:tblLayout w:type="fixed"/>
        <w:tblCellMar>
          <w:top w:w="0" w:type="dxa"/>
          <w:left w:w="108" w:type="dxa"/>
          <w:bottom w:w="0" w:type="dxa"/>
          <w:right w:w="108" w:type="dxa"/>
        </w:tblCellMar>
      </w:tblPr>
      <w:tblGrid>
        <w:gridCol w:w="2215"/>
        <w:gridCol w:w="2215"/>
        <w:gridCol w:w="2215"/>
        <w:gridCol w:w="2215"/>
      </w:tblGrid>
      <w:tr>
        <w:trPr>
          <w:trHeight w:val="596" w:hRule="atLeast"/>
        </w:trPr>
        <w:tc>
          <w:tcPr>
            <w:tcW w:w="8860"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第二十条第（一）项</w:t>
            </w:r>
          </w:p>
        </w:tc>
      </w:tr>
      <w:tr>
        <w:trPr>
          <w:trHeight w:val="596" w:hRule="atLeast"/>
        </w:trPr>
        <w:tc>
          <w:tcPr>
            <w:tcW w:w="2215" w:type="dxa"/>
            <w:tcBorders>
              <w:top w:val="nil"/>
              <w:left w:val="single" w:color="auto" w:sz="8" w:space="0"/>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2215" w:type="dxa"/>
            <w:tcBorders>
              <w:top w:val="nil"/>
              <w:left w:val="nil"/>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本年制发件数</w:t>
            </w:r>
          </w:p>
        </w:tc>
        <w:tc>
          <w:tcPr>
            <w:tcW w:w="2215" w:type="dxa"/>
            <w:tcBorders>
              <w:top w:val="nil"/>
              <w:left w:val="nil"/>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本年废止件数</w:t>
            </w:r>
          </w:p>
        </w:tc>
        <w:tc>
          <w:tcPr>
            <w:tcW w:w="2215" w:type="dxa"/>
            <w:tcBorders>
              <w:top w:val="nil"/>
              <w:left w:val="nil"/>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现行有效件数</w:t>
            </w:r>
          </w:p>
        </w:tc>
      </w:tr>
      <w:tr>
        <w:trPr>
          <w:trHeight w:val="596" w:hRule="atLeast"/>
        </w:trPr>
        <w:tc>
          <w:tcPr>
            <w:tcW w:w="2215" w:type="dxa"/>
            <w:tcBorders>
              <w:top w:val="nil"/>
              <w:left w:val="single" w:color="auto" w:sz="8" w:space="0"/>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规章</w:t>
            </w:r>
          </w:p>
        </w:tc>
        <w:tc>
          <w:tcPr>
            <w:tcW w:w="2215" w:type="dxa"/>
            <w:tcBorders>
              <w:top w:val="nil"/>
              <w:left w:val="nil"/>
              <w:bottom w:val="single" w:color="auto" w:sz="8" w:space="0"/>
              <w:right w:val="single" w:color="auto" w:sz="8" w:space="0"/>
            </w:tcBorders>
            <w:noWrap w:val="0"/>
            <w:vAlign w:val="center"/>
          </w:tcPr>
          <w:p>
            <w:pPr>
              <w:widowControl/>
              <w:jc w:val="center"/>
              <w:rPr>
                <w:rFonts w:hint="eastAsia" w:ascii="仿宋_GB2312" w:hAnsi="宋体" w:eastAsia="仿宋_GB2312" w:cs="宋体"/>
                <w:color w:val="auto"/>
                <w:kern w:val="0"/>
                <w:szCs w:val="21"/>
                <w:lang w:eastAsia="zh-CN"/>
              </w:rPr>
            </w:pPr>
            <w:r>
              <w:rPr>
                <w:rFonts w:hint="eastAsia" w:ascii="仿宋_GB2312" w:hAnsi="宋体" w:eastAsia="仿宋_GB2312" w:cs="宋体"/>
                <w:color w:val="auto"/>
                <w:kern w:val="0"/>
                <w:szCs w:val="21"/>
                <w:lang w:val="en-US" w:eastAsia="zh-CN"/>
              </w:rPr>
              <w:t>0</w:t>
            </w:r>
          </w:p>
        </w:tc>
        <w:tc>
          <w:tcPr>
            <w:tcW w:w="2215" w:type="dxa"/>
            <w:tcBorders>
              <w:top w:val="nil"/>
              <w:left w:val="nil"/>
              <w:bottom w:val="single" w:color="auto" w:sz="8" w:space="0"/>
              <w:right w:val="single" w:color="auto" w:sz="8" w:space="0"/>
            </w:tcBorders>
            <w:noWrap w:val="0"/>
            <w:vAlign w:val="center"/>
          </w:tcPr>
          <w:p>
            <w:pPr>
              <w:widowControl/>
              <w:jc w:val="center"/>
              <w:rPr>
                <w:rFonts w:ascii="仿宋_GB2312" w:hAnsi="宋体" w:eastAsia="仿宋_GB2312" w:cs="宋体"/>
                <w:color w:val="auto"/>
                <w:kern w:val="0"/>
                <w:szCs w:val="21"/>
              </w:rPr>
            </w:pPr>
            <w:r>
              <w:rPr>
                <w:rFonts w:hint="eastAsia" w:ascii="仿宋_GB2312" w:hAnsi="宋体" w:eastAsia="仿宋_GB2312" w:cs="宋体"/>
                <w:color w:val="auto"/>
                <w:kern w:val="0"/>
                <w:szCs w:val="21"/>
                <w:lang w:val="en-US" w:eastAsia="zh-CN"/>
              </w:rPr>
              <w:t>0</w:t>
            </w:r>
          </w:p>
        </w:tc>
        <w:tc>
          <w:tcPr>
            <w:tcW w:w="2215" w:type="dxa"/>
            <w:tcBorders>
              <w:top w:val="nil"/>
              <w:left w:val="nil"/>
              <w:bottom w:val="single" w:color="auto" w:sz="8" w:space="0"/>
              <w:right w:val="single" w:color="auto" w:sz="8" w:space="0"/>
            </w:tcBorders>
            <w:noWrap w:val="0"/>
            <w:vAlign w:val="center"/>
          </w:tcPr>
          <w:p>
            <w:pPr>
              <w:widowControl/>
              <w:jc w:val="center"/>
              <w:rPr>
                <w:rFonts w:ascii="仿宋_GB2312" w:hAnsi="Calibri" w:eastAsia="仿宋_GB2312" w:cs="Calibri"/>
                <w:color w:val="auto"/>
                <w:kern w:val="0"/>
                <w:szCs w:val="21"/>
              </w:rPr>
            </w:pPr>
            <w:r>
              <w:rPr>
                <w:rFonts w:hint="eastAsia" w:ascii="仿宋_GB2312" w:hAnsi="宋体" w:eastAsia="仿宋_GB2312" w:cs="宋体"/>
                <w:color w:val="auto"/>
                <w:kern w:val="0"/>
                <w:szCs w:val="21"/>
                <w:lang w:val="en-US" w:eastAsia="zh-CN"/>
              </w:rPr>
              <w:t>0</w:t>
            </w:r>
          </w:p>
        </w:tc>
      </w:tr>
      <w:tr>
        <w:trPr>
          <w:trHeight w:val="596" w:hRule="atLeast"/>
        </w:trPr>
        <w:tc>
          <w:tcPr>
            <w:tcW w:w="2215" w:type="dxa"/>
            <w:tcBorders>
              <w:top w:val="nil"/>
              <w:left w:val="single" w:color="auto" w:sz="8" w:space="0"/>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行政规范性文件</w:t>
            </w:r>
          </w:p>
        </w:tc>
        <w:tc>
          <w:tcPr>
            <w:tcW w:w="2215" w:type="dxa"/>
            <w:tcBorders>
              <w:top w:val="nil"/>
              <w:left w:val="nil"/>
              <w:bottom w:val="single" w:color="auto" w:sz="8" w:space="0"/>
              <w:right w:val="single" w:color="auto" w:sz="8" w:space="0"/>
            </w:tcBorders>
            <w:noWrap w:val="0"/>
            <w:vAlign w:val="center"/>
          </w:tcPr>
          <w:p>
            <w:pPr>
              <w:widowControl/>
              <w:jc w:val="center"/>
              <w:rPr>
                <w:rFonts w:hint="eastAsia" w:ascii="仿宋_GB2312" w:hAnsi="宋体" w:eastAsia="仿宋_GB2312" w:cs="宋体"/>
                <w:color w:val="auto"/>
                <w:kern w:val="0"/>
                <w:szCs w:val="21"/>
                <w:lang w:eastAsia="zh-CN"/>
              </w:rPr>
            </w:pPr>
            <w:r>
              <w:rPr>
                <w:rFonts w:hint="eastAsia" w:ascii="仿宋_GB2312" w:hAnsi="宋体" w:eastAsia="仿宋_GB2312" w:cs="宋体"/>
                <w:color w:val="auto"/>
                <w:kern w:val="0"/>
                <w:szCs w:val="21"/>
                <w:lang w:val="en-US" w:eastAsia="zh-CN"/>
              </w:rPr>
              <w:t>0</w:t>
            </w:r>
          </w:p>
        </w:tc>
        <w:tc>
          <w:tcPr>
            <w:tcW w:w="2215" w:type="dxa"/>
            <w:tcBorders>
              <w:top w:val="nil"/>
              <w:left w:val="nil"/>
              <w:bottom w:val="single" w:color="auto" w:sz="8" w:space="0"/>
              <w:right w:val="single" w:color="auto" w:sz="8" w:space="0"/>
            </w:tcBorders>
            <w:noWrap w:val="0"/>
            <w:vAlign w:val="center"/>
          </w:tcPr>
          <w:p>
            <w:pPr>
              <w:widowControl/>
              <w:jc w:val="center"/>
              <w:rPr>
                <w:rFonts w:hint="eastAsia" w:ascii="仿宋_GB2312" w:hAnsi="宋体" w:eastAsia="仿宋_GB2312" w:cs="宋体"/>
                <w:color w:val="auto"/>
                <w:kern w:val="0"/>
                <w:szCs w:val="21"/>
                <w:lang w:eastAsia="zh-CN"/>
              </w:rPr>
            </w:pPr>
            <w:r>
              <w:rPr>
                <w:rFonts w:hint="eastAsia" w:ascii="仿宋_GB2312" w:hAnsi="宋体" w:eastAsia="仿宋_GB2312" w:cs="宋体"/>
                <w:color w:val="auto"/>
                <w:kern w:val="0"/>
                <w:szCs w:val="21"/>
                <w:lang w:val="en-US" w:eastAsia="zh-CN"/>
              </w:rPr>
              <w:t>0</w:t>
            </w:r>
          </w:p>
        </w:tc>
        <w:tc>
          <w:tcPr>
            <w:tcW w:w="2215" w:type="dxa"/>
            <w:tcBorders>
              <w:top w:val="nil"/>
              <w:left w:val="nil"/>
              <w:bottom w:val="single" w:color="auto" w:sz="8" w:space="0"/>
              <w:right w:val="single" w:color="auto" w:sz="8" w:space="0"/>
            </w:tcBorders>
            <w:noWrap w:val="0"/>
            <w:vAlign w:val="center"/>
          </w:tcPr>
          <w:p>
            <w:pPr>
              <w:widowControl/>
              <w:jc w:val="center"/>
              <w:rPr>
                <w:rFonts w:hint="eastAsia" w:ascii="仿宋_GB2312" w:hAnsi="宋体" w:eastAsia="仿宋_GB2312" w:cs="宋体"/>
                <w:color w:val="auto"/>
                <w:kern w:val="0"/>
                <w:szCs w:val="21"/>
                <w:lang w:eastAsia="zh-CN"/>
              </w:rPr>
            </w:pPr>
            <w:r>
              <w:rPr>
                <w:rFonts w:hint="eastAsia" w:ascii="仿宋_GB2312" w:hAnsi="宋体" w:eastAsia="仿宋_GB2312" w:cs="宋体"/>
                <w:color w:val="auto"/>
                <w:kern w:val="0"/>
                <w:szCs w:val="21"/>
                <w:lang w:val="en-US" w:eastAsia="zh-CN"/>
              </w:rPr>
              <w:t>0</w:t>
            </w:r>
          </w:p>
        </w:tc>
      </w:tr>
      <w:tr>
        <w:trPr>
          <w:trHeight w:val="596" w:hRule="atLeast"/>
        </w:trPr>
        <w:tc>
          <w:tcPr>
            <w:tcW w:w="8860"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第二十条第（五）项</w:t>
            </w:r>
          </w:p>
        </w:tc>
      </w:tr>
      <w:tr>
        <w:trPr>
          <w:trHeight w:val="596" w:hRule="atLeast"/>
        </w:trPr>
        <w:tc>
          <w:tcPr>
            <w:tcW w:w="2215" w:type="dxa"/>
            <w:tcBorders>
              <w:top w:val="nil"/>
              <w:left w:val="single" w:color="auto" w:sz="8" w:space="0"/>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6645" w:type="dxa"/>
            <w:gridSpan w:val="3"/>
            <w:tcBorders>
              <w:top w:val="single" w:color="auto" w:sz="8" w:space="0"/>
              <w:left w:val="nil"/>
              <w:bottom w:val="single" w:color="auto" w:sz="8" w:space="0"/>
              <w:right w:val="single" w:color="000000"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本年处理决定数量</w:t>
            </w:r>
          </w:p>
        </w:tc>
      </w:tr>
      <w:tr>
        <w:trPr>
          <w:trHeight w:val="596" w:hRule="atLeast"/>
        </w:trPr>
        <w:tc>
          <w:tcPr>
            <w:tcW w:w="2215" w:type="dxa"/>
            <w:tcBorders>
              <w:top w:val="nil"/>
              <w:left w:val="single" w:color="auto" w:sz="8" w:space="0"/>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行政许可</w:t>
            </w:r>
          </w:p>
        </w:tc>
        <w:tc>
          <w:tcPr>
            <w:tcW w:w="6645" w:type="dxa"/>
            <w:gridSpan w:val="3"/>
            <w:tcBorders>
              <w:top w:val="single" w:color="auto" w:sz="8" w:space="0"/>
              <w:left w:val="nil"/>
              <w:bottom w:val="single" w:color="auto" w:sz="8" w:space="0"/>
              <w:right w:val="single" w:color="000000" w:sz="8" w:space="0"/>
            </w:tcBorders>
            <w:noWrap w:val="0"/>
            <w:vAlign w:val="center"/>
          </w:tcPr>
          <w:p>
            <w:pPr>
              <w:widowControl/>
              <w:jc w:val="center"/>
              <w:rPr>
                <w:rFonts w:hint="eastAsia" w:ascii="仿宋_GB2312" w:hAnsi="Calibri" w:eastAsia="仿宋_GB2312" w:cs="Calibri"/>
                <w:color w:val="auto"/>
                <w:kern w:val="0"/>
                <w:szCs w:val="21"/>
                <w:lang w:val="en-US" w:eastAsia="zh-CN"/>
              </w:rPr>
            </w:pPr>
            <w:r>
              <w:rPr>
                <w:rFonts w:hint="eastAsia" w:ascii="仿宋_GB2312" w:hAnsi="Calibri" w:eastAsia="仿宋_GB2312" w:cs="Calibri"/>
                <w:color w:val="auto"/>
                <w:kern w:val="0"/>
                <w:szCs w:val="21"/>
                <w:lang w:val="en-US" w:eastAsia="zh-CN"/>
              </w:rPr>
              <w:t>0</w:t>
            </w:r>
          </w:p>
        </w:tc>
      </w:tr>
      <w:tr>
        <w:trPr>
          <w:trHeight w:val="596" w:hRule="atLeast"/>
        </w:trPr>
        <w:tc>
          <w:tcPr>
            <w:tcW w:w="8860"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第二十条第（六）项</w:t>
            </w:r>
          </w:p>
        </w:tc>
      </w:tr>
      <w:tr>
        <w:trPr>
          <w:trHeight w:val="596" w:hRule="atLeast"/>
        </w:trPr>
        <w:tc>
          <w:tcPr>
            <w:tcW w:w="2215" w:type="dxa"/>
            <w:tcBorders>
              <w:top w:val="nil"/>
              <w:left w:val="single" w:color="auto" w:sz="8" w:space="0"/>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6645" w:type="dxa"/>
            <w:gridSpan w:val="3"/>
            <w:tcBorders>
              <w:top w:val="single" w:color="auto" w:sz="8" w:space="0"/>
              <w:left w:val="nil"/>
              <w:bottom w:val="single" w:color="auto" w:sz="8" w:space="0"/>
              <w:right w:val="single" w:color="000000"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本年处理决定数量</w:t>
            </w:r>
          </w:p>
        </w:tc>
      </w:tr>
      <w:tr>
        <w:trPr>
          <w:trHeight w:val="596" w:hRule="atLeast"/>
        </w:trPr>
        <w:tc>
          <w:tcPr>
            <w:tcW w:w="2215" w:type="dxa"/>
            <w:tcBorders>
              <w:top w:val="nil"/>
              <w:left w:val="single" w:color="auto" w:sz="8" w:space="0"/>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行政处罚</w:t>
            </w:r>
          </w:p>
        </w:tc>
        <w:tc>
          <w:tcPr>
            <w:tcW w:w="6645" w:type="dxa"/>
            <w:gridSpan w:val="3"/>
            <w:tcBorders>
              <w:top w:val="single" w:color="auto" w:sz="8" w:space="0"/>
              <w:left w:val="nil"/>
              <w:bottom w:val="single" w:color="auto" w:sz="8" w:space="0"/>
              <w:right w:val="single" w:color="000000" w:sz="8" w:space="0"/>
            </w:tcBorders>
            <w:noWrap w:val="0"/>
            <w:vAlign w:val="center"/>
          </w:tcPr>
          <w:p>
            <w:pPr>
              <w:widowControl/>
              <w:jc w:val="center"/>
              <w:rPr>
                <w:rFonts w:hint="eastAsia" w:ascii="仿宋_GB2312" w:hAnsi="Calibri" w:eastAsia="仿宋_GB2312" w:cs="Calibri"/>
                <w:color w:val="auto"/>
                <w:kern w:val="0"/>
                <w:szCs w:val="21"/>
                <w:lang w:eastAsia="zh-CN"/>
              </w:rPr>
            </w:pPr>
            <w:r>
              <w:rPr>
                <w:rFonts w:hint="eastAsia" w:ascii="仿宋_GB2312" w:hAnsi="Calibri" w:eastAsia="仿宋_GB2312" w:cs="Calibri"/>
                <w:color w:val="auto"/>
                <w:kern w:val="0"/>
                <w:szCs w:val="21"/>
                <w:lang w:val="en-US" w:eastAsia="zh-CN"/>
              </w:rPr>
              <w:t>0</w:t>
            </w:r>
          </w:p>
        </w:tc>
      </w:tr>
      <w:tr>
        <w:trPr>
          <w:trHeight w:val="596" w:hRule="atLeast"/>
        </w:trPr>
        <w:tc>
          <w:tcPr>
            <w:tcW w:w="2215" w:type="dxa"/>
            <w:tcBorders>
              <w:top w:val="nil"/>
              <w:left w:val="single" w:color="auto" w:sz="8" w:space="0"/>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行政强制</w:t>
            </w:r>
          </w:p>
        </w:tc>
        <w:tc>
          <w:tcPr>
            <w:tcW w:w="6645" w:type="dxa"/>
            <w:gridSpan w:val="3"/>
            <w:tcBorders>
              <w:top w:val="single" w:color="auto" w:sz="8" w:space="0"/>
              <w:left w:val="nil"/>
              <w:bottom w:val="single" w:color="auto" w:sz="8" w:space="0"/>
              <w:right w:val="single" w:color="000000" w:sz="8" w:space="0"/>
            </w:tcBorders>
            <w:noWrap w:val="0"/>
            <w:vAlign w:val="center"/>
          </w:tcPr>
          <w:p>
            <w:pPr>
              <w:widowControl/>
              <w:jc w:val="center"/>
              <w:rPr>
                <w:rFonts w:hint="default" w:ascii="仿宋_GB2312" w:hAnsi="Calibri" w:eastAsia="仿宋_GB2312" w:cs="Calibri"/>
                <w:color w:val="auto"/>
                <w:kern w:val="0"/>
                <w:szCs w:val="21"/>
                <w:lang w:val="en-US" w:eastAsia="zh-CN"/>
              </w:rPr>
            </w:pPr>
            <w:r>
              <w:rPr>
                <w:rFonts w:hint="eastAsia" w:ascii="仿宋_GB2312" w:hAnsi="Calibri" w:eastAsia="仿宋_GB2312" w:cs="Calibri"/>
                <w:color w:val="auto"/>
                <w:kern w:val="0"/>
                <w:szCs w:val="21"/>
                <w:lang w:val="en-US" w:eastAsia="zh-CN"/>
              </w:rPr>
              <w:t>0</w:t>
            </w:r>
          </w:p>
        </w:tc>
      </w:tr>
      <w:tr>
        <w:trPr>
          <w:trHeight w:val="596" w:hRule="atLeast"/>
        </w:trPr>
        <w:tc>
          <w:tcPr>
            <w:tcW w:w="8860"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第二十条第（八）项</w:t>
            </w:r>
          </w:p>
        </w:tc>
      </w:tr>
      <w:tr>
        <w:trPr>
          <w:trHeight w:val="596" w:hRule="atLeast"/>
        </w:trPr>
        <w:tc>
          <w:tcPr>
            <w:tcW w:w="2215" w:type="dxa"/>
            <w:tcBorders>
              <w:top w:val="nil"/>
              <w:left w:val="single" w:color="auto" w:sz="8" w:space="0"/>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6645" w:type="dxa"/>
            <w:gridSpan w:val="3"/>
            <w:tcBorders>
              <w:top w:val="single" w:color="auto" w:sz="8" w:space="0"/>
              <w:left w:val="nil"/>
              <w:bottom w:val="single" w:color="auto" w:sz="8" w:space="0"/>
              <w:right w:val="single" w:color="000000"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本年收费金额（单位：万元）</w:t>
            </w:r>
          </w:p>
        </w:tc>
      </w:tr>
      <w:tr>
        <w:trPr>
          <w:trHeight w:val="533" w:hRule="atLeast"/>
        </w:trPr>
        <w:tc>
          <w:tcPr>
            <w:tcW w:w="2215" w:type="dxa"/>
            <w:tcBorders>
              <w:top w:val="nil"/>
              <w:left w:val="single" w:color="auto" w:sz="8" w:space="0"/>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行政事业性收费</w:t>
            </w:r>
          </w:p>
        </w:tc>
        <w:tc>
          <w:tcPr>
            <w:tcW w:w="6645" w:type="dxa"/>
            <w:gridSpan w:val="3"/>
            <w:tcBorders>
              <w:top w:val="single" w:color="auto" w:sz="8" w:space="0"/>
              <w:left w:val="nil"/>
              <w:bottom w:val="single" w:color="auto" w:sz="8" w:space="0"/>
              <w:right w:val="single" w:color="000000" w:sz="8" w:space="0"/>
            </w:tcBorders>
            <w:noWrap w:val="0"/>
            <w:vAlign w:val="center"/>
          </w:tcPr>
          <w:p>
            <w:pPr>
              <w:widowControl/>
              <w:jc w:val="center"/>
              <w:rPr>
                <w:rFonts w:hint="eastAsia" w:ascii="仿宋_GB2312" w:hAnsi="Calibri" w:eastAsia="仿宋_GB2312" w:cs="Calibri"/>
                <w:color w:val="000000"/>
                <w:kern w:val="0"/>
                <w:szCs w:val="21"/>
                <w:lang w:eastAsia="zh-CN"/>
              </w:rPr>
            </w:pPr>
            <w:r>
              <w:rPr>
                <w:rFonts w:hint="eastAsia" w:ascii="仿宋_GB2312" w:hAnsi="Calibri" w:eastAsia="仿宋_GB2312" w:cs="Calibri"/>
                <w:color w:val="auto"/>
                <w:kern w:val="0"/>
                <w:szCs w:val="21"/>
                <w:lang w:val="en-US" w:eastAsia="zh-CN"/>
              </w:rPr>
              <w:t>0</w:t>
            </w:r>
          </w:p>
        </w:tc>
      </w:tr>
    </w:tbl>
    <w:p>
      <w:pPr>
        <w:pStyle w:val="5"/>
        <w:numPr>
          <w:ilvl w:val="0"/>
          <w:numId w:val="0"/>
        </w:numPr>
        <w:shd w:val="clear" w:color="auto" w:fill="FFFFFF"/>
        <w:spacing w:beforeAutospacing="0" w:afterAutospacing="0" w:line="560" w:lineRule="exact"/>
        <w:ind w:firstLine="640" w:firstLineChars="200"/>
        <w:jc w:val="both"/>
        <w:rPr>
          <w:rFonts w:hint="eastAsia" w:ascii="黑体" w:hAnsi="黑体" w:eastAsia="黑体" w:cs="宋体"/>
          <w:color w:val="000000"/>
          <w:sz w:val="32"/>
          <w:szCs w:val="32"/>
          <w:highlight w:val="none"/>
        </w:rPr>
      </w:pPr>
      <w:r>
        <w:rPr>
          <w:rFonts w:hint="eastAsia" w:ascii="黑体" w:hAnsi="黑体" w:eastAsia="黑体" w:cs="宋体"/>
          <w:color w:val="000000"/>
          <w:sz w:val="32"/>
          <w:szCs w:val="32"/>
          <w:highlight w:val="none"/>
        </w:rPr>
        <w:t>三、收到和处理政府信息公开申请情况</w:t>
      </w:r>
    </w:p>
    <w:tbl>
      <w:tblPr>
        <w:tblStyle w:val="6"/>
        <w:tblW w:w="955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15"/>
        <w:gridCol w:w="1714"/>
        <w:gridCol w:w="3216"/>
        <w:gridCol w:w="505"/>
        <w:gridCol w:w="5"/>
        <w:gridCol w:w="534"/>
        <w:gridCol w:w="5"/>
        <w:gridCol w:w="534"/>
        <w:gridCol w:w="720"/>
        <w:gridCol w:w="675"/>
        <w:gridCol w:w="525"/>
        <w:gridCol w:w="6"/>
        <w:gridCol w:w="70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74" w:hRule="atLeast"/>
          <w:jc w:val="center"/>
        </w:trPr>
        <w:tc>
          <w:tcPr>
            <w:tcW w:w="5345" w:type="dxa"/>
            <w:gridSpan w:val="3"/>
            <w:vMerge w:val="restart"/>
            <w:noWrap w:val="0"/>
            <w:tcMar>
              <w:left w:w="108" w:type="dxa"/>
              <w:right w:w="108" w:type="dxa"/>
            </w:tcMar>
            <w:vAlign w:val="center"/>
          </w:tcPr>
          <w:p>
            <w:pPr>
              <w:widowControl/>
              <w:jc w:val="center"/>
              <w:rPr>
                <w:rFonts w:ascii="楷体_GB2312" w:hAnsi="黑体" w:eastAsia="楷体_GB2312"/>
                <w:kern w:val="0"/>
                <w:szCs w:val="21"/>
              </w:rPr>
            </w:pPr>
            <w:r>
              <w:rPr>
                <w:rFonts w:hint="eastAsia" w:ascii="楷体_GB2312" w:hAnsi="黑体" w:eastAsia="楷体_GB2312"/>
                <w:kern w:val="0"/>
                <w:szCs w:val="21"/>
              </w:rPr>
              <w:t>（本列数据的勾稽关系为：第一项加第二项之和，</w:t>
            </w:r>
          </w:p>
          <w:p>
            <w:pPr>
              <w:widowControl/>
              <w:jc w:val="center"/>
              <w:rPr>
                <w:rFonts w:ascii="仿宋_GB2312" w:hAnsi="Times New Roman" w:eastAsia="仿宋_GB2312"/>
                <w:szCs w:val="21"/>
              </w:rPr>
            </w:pPr>
            <w:r>
              <w:rPr>
                <w:rFonts w:hint="eastAsia" w:ascii="楷体_GB2312" w:hAnsi="黑体" w:eastAsia="楷体_GB2312"/>
                <w:kern w:val="0"/>
                <w:szCs w:val="21"/>
              </w:rPr>
              <w:t>等于第三项加第四项之和）</w:t>
            </w:r>
          </w:p>
        </w:tc>
        <w:tc>
          <w:tcPr>
            <w:tcW w:w="4214" w:type="dxa"/>
            <w:gridSpan w:val="10"/>
            <w:noWrap w:val="0"/>
            <w:tcMar>
              <w:left w:w="108" w:type="dxa"/>
              <w:right w:w="108" w:type="dxa"/>
            </w:tcMar>
            <w:vAlign w:val="center"/>
          </w:tcPr>
          <w:p>
            <w:pPr>
              <w:widowControl/>
              <w:spacing w:line="320" w:lineRule="exact"/>
              <w:jc w:val="center"/>
              <w:rPr>
                <w:rFonts w:ascii="黑体" w:hAnsi="黑体" w:eastAsia="黑体"/>
                <w:szCs w:val="21"/>
              </w:rPr>
            </w:pPr>
            <w:r>
              <w:rPr>
                <w:rFonts w:hint="eastAsia" w:ascii="黑体" w:hAnsi="黑体" w:eastAsia="黑体"/>
                <w:kern w:val="0"/>
                <w:szCs w:val="21"/>
              </w:rPr>
              <w:t>申请人情况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37" w:hRule="atLeast"/>
          <w:jc w:val="center"/>
        </w:trPr>
        <w:tc>
          <w:tcPr>
            <w:tcW w:w="5345" w:type="dxa"/>
            <w:gridSpan w:val="3"/>
            <w:vMerge w:val="continue"/>
            <w:noWrap w:val="0"/>
            <w:tcMar>
              <w:left w:w="108" w:type="dxa"/>
              <w:right w:w="108" w:type="dxa"/>
            </w:tcMar>
            <w:vAlign w:val="center"/>
          </w:tcPr>
          <w:p>
            <w:pPr>
              <w:jc w:val="center"/>
              <w:rPr>
                <w:rFonts w:ascii="仿宋_GB2312" w:hAnsi="Times New Roman" w:eastAsia="仿宋_GB2312"/>
                <w:szCs w:val="21"/>
              </w:rPr>
            </w:pPr>
          </w:p>
        </w:tc>
        <w:tc>
          <w:tcPr>
            <w:tcW w:w="505" w:type="dxa"/>
            <w:vMerge w:val="restart"/>
            <w:noWrap w:val="0"/>
            <w:tcMar>
              <w:left w:w="108" w:type="dxa"/>
              <w:right w:w="108" w:type="dxa"/>
            </w:tcMar>
            <w:vAlign w:val="center"/>
          </w:tcPr>
          <w:p>
            <w:pPr>
              <w:widowControl/>
              <w:jc w:val="center"/>
              <w:rPr>
                <w:rFonts w:ascii="黑体" w:hAnsi="黑体" w:eastAsia="黑体"/>
                <w:szCs w:val="21"/>
              </w:rPr>
            </w:pPr>
            <w:r>
              <w:rPr>
                <w:rFonts w:hint="eastAsia" w:ascii="黑体" w:hAnsi="黑体" w:eastAsia="黑体"/>
                <w:kern w:val="0"/>
                <w:szCs w:val="21"/>
              </w:rPr>
              <w:t>自然人</w:t>
            </w:r>
          </w:p>
        </w:tc>
        <w:tc>
          <w:tcPr>
            <w:tcW w:w="3004" w:type="dxa"/>
            <w:gridSpan w:val="8"/>
            <w:noWrap w:val="0"/>
            <w:tcMar>
              <w:left w:w="108" w:type="dxa"/>
              <w:right w:w="108" w:type="dxa"/>
            </w:tcMar>
            <w:vAlign w:val="center"/>
          </w:tcPr>
          <w:p>
            <w:pPr>
              <w:widowControl/>
              <w:spacing w:line="320" w:lineRule="exact"/>
              <w:jc w:val="center"/>
              <w:rPr>
                <w:rFonts w:ascii="黑体" w:hAnsi="黑体" w:eastAsia="黑体"/>
                <w:szCs w:val="21"/>
              </w:rPr>
            </w:pPr>
            <w:r>
              <w:rPr>
                <w:rFonts w:hint="eastAsia" w:ascii="黑体" w:hAnsi="黑体" w:eastAsia="黑体"/>
                <w:kern w:val="0"/>
                <w:szCs w:val="21"/>
              </w:rPr>
              <w:t>法人或其他组织</w:t>
            </w:r>
          </w:p>
        </w:tc>
        <w:tc>
          <w:tcPr>
            <w:tcW w:w="705" w:type="dxa"/>
            <w:vMerge w:val="restart"/>
            <w:noWrap w:val="0"/>
            <w:tcMar>
              <w:left w:w="108" w:type="dxa"/>
              <w:right w:w="108" w:type="dxa"/>
            </w:tcMar>
            <w:vAlign w:val="center"/>
          </w:tcPr>
          <w:p>
            <w:pPr>
              <w:widowControl/>
              <w:jc w:val="center"/>
              <w:rPr>
                <w:rFonts w:ascii="黑体" w:hAnsi="黑体" w:eastAsia="黑体"/>
                <w:szCs w:val="21"/>
              </w:rPr>
            </w:pPr>
            <w:r>
              <w:rPr>
                <w:rFonts w:hint="eastAsia" w:ascii="黑体" w:hAnsi="黑体" w:eastAsia="黑体"/>
                <w:kern w:val="0"/>
                <w:szCs w:val="21"/>
              </w:rPr>
              <w:t>总计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62" w:hRule="atLeast"/>
          <w:jc w:val="center"/>
        </w:trPr>
        <w:tc>
          <w:tcPr>
            <w:tcW w:w="5345" w:type="dxa"/>
            <w:gridSpan w:val="3"/>
            <w:vMerge w:val="continue"/>
            <w:noWrap w:val="0"/>
            <w:tcMar>
              <w:left w:w="108" w:type="dxa"/>
              <w:right w:w="108" w:type="dxa"/>
            </w:tcMar>
            <w:vAlign w:val="center"/>
          </w:tcPr>
          <w:p>
            <w:pPr>
              <w:jc w:val="center"/>
              <w:rPr>
                <w:rFonts w:ascii="仿宋_GB2312" w:hAnsi="Times New Roman" w:eastAsia="仿宋_GB2312"/>
                <w:szCs w:val="21"/>
              </w:rPr>
            </w:pPr>
          </w:p>
        </w:tc>
        <w:tc>
          <w:tcPr>
            <w:tcW w:w="505" w:type="dxa"/>
            <w:vMerge w:val="continue"/>
            <w:noWrap w:val="0"/>
            <w:tcMar>
              <w:left w:w="108" w:type="dxa"/>
              <w:right w:w="108" w:type="dxa"/>
            </w:tcMar>
            <w:vAlign w:val="center"/>
          </w:tcPr>
          <w:p>
            <w:pPr>
              <w:jc w:val="center"/>
              <w:rPr>
                <w:rFonts w:ascii="黑体" w:hAnsi="黑体" w:eastAsia="黑体"/>
                <w:szCs w:val="21"/>
              </w:rPr>
            </w:pPr>
          </w:p>
        </w:tc>
        <w:tc>
          <w:tcPr>
            <w:tcW w:w="539" w:type="dxa"/>
            <w:gridSpan w:val="2"/>
            <w:noWrap w:val="0"/>
            <w:tcMar>
              <w:left w:w="108" w:type="dxa"/>
              <w:right w:w="108" w:type="dxa"/>
            </w:tcMar>
            <w:vAlign w:val="center"/>
          </w:tcPr>
          <w:p>
            <w:pPr>
              <w:widowControl/>
              <w:spacing w:line="320" w:lineRule="exact"/>
              <w:ind w:left="-111" w:leftChars="-51" w:right="-112" w:rightChars="-51" w:hanging="1"/>
              <w:jc w:val="center"/>
              <w:rPr>
                <w:rFonts w:ascii="黑体" w:hAnsi="黑体" w:eastAsia="黑体"/>
                <w:szCs w:val="21"/>
              </w:rPr>
            </w:pPr>
            <w:r>
              <w:rPr>
                <w:rFonts w:hint="eastAsia" w:ascii="黑体" w:hAnsi="黑体" w:eastAsia="黑体"/>
                <w:kern w:val="0"/>
                <w:szCs w:val="21"/>
              </w:rPr>
              <w:t>商业企业</w:t>
            </w:r>
          </w:p>
        </w:tc>
        <w:tc>
          <w:tcPr>
            <w:tcW w:w="539" w:type="dxa"/>
            <w:gridSpan w:val="2"/>
            <w:noWrap w:val="0"/>
            <w:tcMar>
              <w:left w:w="108" w:type="dxa"/>
              <w:right w:w="108" w:type="dxa"/>
            </w:tcMar>
            <w:vAlign w:val="center"/>
          </w:tcPr>
          <w:p>
            <w:pPr>
              <w:widowControl/>
              <w:spacing w:line="320" w:lineRule="exact"/>
              <w:ind w:left="-112" w:leftChars="-51" w:right="-112" w:rightChars="-51"/>
              <w:jc w:val="center"/>
              <w:rPr>
                <w:rFonts w:ascii="黑体" w:hAnsi="黑体" w:eastAsia="黑体"/>
                <w:szCs w:val="21"/>
              </w:rPr>
            </w:pPr>
            <w:r>
              <w:rPr>
                <w:rFonts w:hint="eastAsia" w:ascii="黑体" w:hAnsi="黑体" w:eastAsia="黑体"/>
                <w:kern w:val="0"/>
                <w:szCs w:val="21"/>
              </w:rPr>
              <w:t>科研机构</w:t>
            </w:r>
          </w:p>
        </w:tc>
        <w:tc>
          <w:tcPr>
            <w:tcW w:w="720" w:type="dxa"/>
            <w:noWrap w:val="0"/>
            <w:tcMar>
              <w:left w:w="108" w:type="dxa"/>
              <w:right w:w="108" w:type="dxa"/>
            </w:tcMar>
            <w:vAlign w:val="center"/>
          </w:tcPr>
          <w:p>
            <w:pPr>
              <w:widowControl/>
              <w:spacing w:line="320" w:lineRule="exact"/>
              <w:ind w:left="-112" w:leftChars="-51" w:right="-112" w:rightChars="-51"/>
              <w:jc w:val="center"/>
              <w:rPr>
                <w:rFonts w:ascii="黑体" w:hAnsi="黑体" w:eastAsia="黑体"/>
                <w:szCs w:val="21"/>
              </w:rPr>
            </w:pPr>
            <w:r>
              <w:rPr>
                <w:rFonts w:hint="eastAsia" w:ascii="黑体" w:hAnsi="黑体" w:eastAsia="黑体"/>
                <w:kern w:val="0"/>
                <w:szCs w:val="21"/>
              </w:rPr>
              <w:t>社会公益组织</w:t>
            </w:r>
          </w:p>
        </w:tc>
        <w:tc>
          <w:tcPr>
            <w:tcW w:w="675" w:type="dxa"/>
            <w:noWrap w:val="0"/>
            <w:tcMar>
              <w:left w:w="108" w:type="dxa"/>
              <w:right w:w="108" w:type="dxa"/>
            </w:tcMar>
            <w:vAlign w:val="center"/>
          </w:tcPr>
          <w:p>
            <w:pPr>
              <w:widowControl/>
              <w:spacing w:line="320" w:lineRule="exact"/>
              <w:ind w:left="-111" w:leftChars="-51" w:right="-112" w:rightChars="-51" w:hanging="1"/>
              <w:jc w:val="center"/>
              <w:rPr>
                <w:rFonts w:ascii="黑体" w:hAnsi="黑体" w:eastAsia="黑体"/>
                <w:szCs w:val="21"/>
              </w:rPr>
            </w:pPr>
            <w:r>
              <w:rPr>
                <w:rFonts w:hint="eastAsia" w:ascii="黑体" w:hAnsi="黑体" w:eastAsia="黑体"/>
                <w:kern w:val="0"/>
                <w:szCs w:val="21"/>
              </w:rPr>
              <w:t>法律服务机构</w:t>
            </w:r>
          </w:p>
        </w:tc>
        <w:tc>
          <w:tcPr>
            <w:tcW w:w="531" w:type="dxa"/>
            <w:gridSpan w:val="2"/>
            <w:noWrap w:val="0"/>
            <w:tcMar>
              <w:left w:w="108" w:type="dxa"/>
              <w:right w:w="108" w:type="dxa"/>
            </w:tcMar>
            <w:vAlign w:val="center"/>
          </w:tcPr>
          <w:p>
            <w:pPr>
              <w:widowControl/>
              <w:spacing w:line="360" w:lineRule="exact"/>
              <w:ind w:left="-66" w:leftChars="-30" w:right="-141" w:rightChars="-64"/>
              <w:jc w:val="center"/>
              <w:rPr>
                <w:rFonts w:ascii="黑体" w:hAnsi="黑体" w:eastAsia="黑体"/>
                <w:szCs w:val="21"/>
              </w:rPr>
            </w:pPr>
            <w:r>
              <w:rPr>
                <w:rFonts w:hint="eastAsia" w:ascii="黑体" w:hAnsi="黑体" w:eastAsia="黑体"/>
                <w:kern w:val="0"/>
                <w:szCs w:val="21"/>
              </w:rPr>
              <w:t>其他</w:t>
            </w:r>
          </w:p>
        </w:tc>
        <w:tc>
          <w:tcPr>
            <w:tcW w:w="705" w:type="dxa"/>
            <w:vMerge w:val="continue"/>
            <w:noWrap w:val="0"/>
            <w:tcMar>
              <w:left w:w="108" w:type="dxa"/>
              <w:right w:w="108" w:type="dxa"/>
            </w:tcMar>
            <w:vAlign w:val="center"/>
          </w:tcPr>
          <w:p>
            <w:pPr>
              <w:jc w:val="center"/>
              <w:rPr>
                <w:rFonts w:ascii="仿宋_GB2312" w:hAnsi="Times New Roman" w:eastAsia="仿宋_GB231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502" w:hRule="atLeast"/>
          <w:jc w:val="center"/>
        </w:trPr>
        <w:tc>
          <w:tcPr>
            <w:tcW w:w="5345" w:type="dxa"/>
            <w:gridSpan w:val="3"/>
            <w:noWrap w:val="0"/>
            <w:tcMar>
              <w:left w:w="108" w:type="dxa"/>
              <w:right w:w="108" w:type="dxa"/>
            </w:tcMar>
            <w:vAlign w:val="center"/>
          </w:tcPr>
          <w:p>
            <w:pPr>
              <w:widowControl/>
              <w:jc w:val="both"/>
              <w:rPr>
                <w:rFonts w:ascii="黑体" w:hAnsi="黑体" w:eastAsia="黑体"/>
                <w:szCs w:val="21"/>
              </w:rPr>
            </w:pPr>
            <w:r>
              <w:rPr>
                <w:rFonts w:hint="eastAsia" w:ascii="黑体" w:hAnsi="黑体" w:eastAsia="黑体"/>
                <w:kern w:val="0"/>
                <w:szCs w:val="21"/>
              </w:rPr>
              <w:t>一、</w:t>
            </w:r>
            <w:bookmarkStart w:id="0" w:name="_Hlk66973412"/>
            <w:r>
              <w:rPr>
                <w:rFonts w:hint="eastAsia" w:ascii="黑体" w:hAnsi="黑体" w:eastAsia="黑体"/>
                <w:kern w:val="0"/>
                <w:szCs w:val="21"/>
              </w:rPr>
              <w:t>本年新收政府信息公开申请数量</w:t>
            </w:r>
            <w:bookmarkEnd w:id="0"/>
          </w:p>
        </w:tc>
        <w:tc>
          <w:tcPr>
            <w:tcW w:w="5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default"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wordWrap w:val="0"/>
              <w:adjustRightInd/>
              <w:snapToGrid/>
              <w:spacing w:after="0" w:line="360" w:lineRule="atLeast"/>
              <w:jc w:val="center"/>
              <w:rPr>
                <w:rFonts w:hint="default"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wordWrap w:val="0"/>
              <w:adjustRightInd/>
              <w:snapToGrid/>
              <w:spacing w:after="0" w:line="360" w:lineRule="atLeast"/>
              <w:jc w:val="center"/>
              <w:rPr>
                <w:rFonts w:hint="default"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1" w:type="dxa"/>
            <w:gridSpan w:val="2"/>
            <w:noWrap w:val="0"/>
            <w:tcMar>
              <w:left w:w="108" w:type="dxa"/>
              <w:right w:w="108" w:type="dxa"/>
            </w:tcMar>
            <w:vAlign w:val="center"/>
          </w:tcPr>
          <w:p>
            <w:pPr>
              <w:wordWrap w:val="0"/>
              <w:adjustRightInd/>
              <w:snapToGrid/>
              <w:spacing w:after="0" w:line="360" w:lineRule="atLeast"/>
              <w:jc w:val="center"/>
              <w:rPr>
                <w:rFonts w:hint="default"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02" w:hRule="atLeast"/>
          <w:jc w:val="center"/>
        </w:trPr>
        <w:tc>
          <w:tcPr>
            <w:tcW w:w="5345" w:type="dxa"/>
            <w:gridSpan w:val="3"/>
            <w:noWrap w:val="0"/>
            <w:tcMar>
              <w:left w:w="108" w:type="dxa"/>
              <w:right w:w="108" w:type="dxa"/>
            </w:tcMar>
            <w:vAlign w:val="center"/>
          </w:tcPr>
          <w:p>
            <w:pPr>
              <w:widowControl/>
              <w:jc w:val="both"/>
              <w:rPr>
                <w:rFonts w:ascii="黑体" w:hAnsi="黑体" w:eastAsia="黑体"/>
                <w:szCs w:val="21"/>
              </w:rPr>
            </w:pPr>
            <w:r>
              <w:rPr>
                <w:rFonts w:hint="eastAsia" w:ascii="黑体" w:hAnsi="黑体" w:eastAsia="黑体"/>
                <w:kern w:val="0"/>
                <w:szCs w:val="21"/>
              </w:rPr>
              <w:t>二、上年结转政府信息公开申请数量</w:t>
            </w:r>
          </w:p>
        </w:tc>
        <w:tc>
          <w:tcPr>
            <w:tcW w:w="5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default"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default"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wordWrap w:val="0"/>
              <w:adjustRightInd/>
              <w:snapToGrid/>
              <w:spacing w:after="0" w:line="360" w:lineRule="atLeast"/>
              <w:jc w:val="center"/>
              <w:rPr>
                <w:rFonts w:hint="default"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wordWrap w:val="0"/>
              <w:adjustRightInd/>
              <w:snapToGrid/>
              <w:spacing w:after="0" w:line="360" w:lineRule="atLeast"/>
              <w:jc w:val="center"/>
              <w:rPr>
                <w:rFonts w:hint="default"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1" w:type="dxa"/>
            <w:gridSpan w:val="2"/>
            <w:noWrap w:val="0"/>
            <w:tcMar>
              <w:left w:w="108" w:type="dxa"/>
              <w:right w:w="108" w:type="dxa"/>
            </w:tcMar>
            <w:vAlign w:val="center"/>
          </w:tcPr>
          <w:p>
            <w:pPr>
              <w:wordWrap w:val="0"/>
              <w:adjustRightInd/>
              <w:snapToGrid/>
              <w:spacing w:after="0" w:line="360" w:lineRule="atLeast"/>
              <w:jc w:val="center"/>
              <w:rPr>
                <w:rFonts w:hint="default"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02" w:hRule="atLeast"/>
          <w:jc w:val="center"/>
        </w:trPr>
        <w:tc>
          <w:tcPr>
            <w:tcW w:w="415" w:type="dxa"/>
            <w:vMerge w:val="restart"/>
            <w:noWrap w:val="0"/>
            <w:tcMar>
              <w:left w:w="108" w:type="dxa"/>
              <w:right w:w="108" w:type="dxa"/>
            </w:tcMar>
            <w:vAlign w:val="center"/>
          </w:tcPr>
          <w:p>
            <w:pPr>
              <w:widowControl/>
              <w:spacing w:after="180"/>
              <w:jc w:val="both"/>
              <w:rPr>
                <w:rFonts w:ascii="黑体" w:hAnsi="黑体" w:eastAsia="黑体"/>
                <w:szCs w:val="21"/>
              </w:rPr>
            </w:pPr>
            <w:r>
              <w:rPr>
                <w:rFonts w:hint="eastAsia" w:ascii="黑体" w:hAnsi="黑体" w:eastAsia="黑体"/>
                <w:kern w:val="0"/>
                <w:szCs w:val="21"/>
              </w:rPr>
              <w:t>三、本年度办理结果</w:t>
            </w:r>
          </w:p>
        </w:tc>
        <w:tc>
          <w:tcPr>
            <w:tcW w:w="4930" w:type="dxa"/>
            <w:gridSpan w:val="2"/>
            <w:noWrap w:val="0"/>
            <w:tcMar>
              <w:left w:w="108" w:type="dxa"/>
              <w:right w:w="108" w:type="dxa"/>
            </w:tcMar>
            <w:vAlign w:val="center"/>
          </w:tcPr>
          <w:p>
            <w:pPr>
              <w:widowControl/>
              <w:jc w:val="both"/>
              <w:rPr>
                <w:rFonts w:ascii="黑体" w:hAnsi="黑体" w:eastAsia="黑体"/>
                <w:szCs w:val="21"/>
              </w:rPr>
            </w:pPr>
            <w:r>
              <w:rPr>
                <w:rFonts w:hint="eastAsia" w:ascii="黑体" w:hAnsi="黑体" w:eastAsia="黑体"/>
                <w:kern w:val="0"/>
                <w:szCs w:val="21"/>
              </w:rPr>
              <w:t>（一）予以公开</w:t>
            </w:r>
          </w:p>
        </w:tc>
        <w:tc>
          <w:tcPr>
            <w:tcW w:w="510"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4"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2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11"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91" w:hRule="atLeast"/>
          <w:jc w:val="center"/>
        </w:trPr>
        <w:tc>
          <w:tcPr>
            <w:tcW w:w="415" w:type="dxa"/>
            <w:vMerge w:val="continue"/>
            <w:noWrap w:val="0"/>
            <w:tcMar>
              <w:left w:w="108" w:type="dxa"/>
              <w:right w:w="108" w:type="dxa"/>
            </w:tcMar>
            <w:vAlign w:val="center"/>
          </w:tcPr>
          <w:p>
            <w:pPr>
              <w:jc w:val="both"/>
              <w:rPr>
                <w:rFonts w:ascii="黑体" w:hAnsi="黑体" w:eastAsia="黑体"/>
                <w:szCs w:val="21"/>
              </w:rPr>
            </w:pPr>
          </w:p>
        </w:tc>
        <w:tc>
          <w:tcPr>
            <w:tcW w:w="4930" w:type="dxa"/>
            <w:gridSpan w:val="2"/>
            <w:noWrap w:val="0"/>
            <w:tcMar>
              <w:left w:w="108" w:type="dxa"/>
              <w:right w:w="108" w:type="dxa"/>
            </w:tcMar>
            <w:vAlign w:val="center"/>
          </w:tcPr>
          <w:p>
            <w:pPr>
              <w:widowControl/>
              <w:jc w:val="both"/>
              <w:rPr>
                <w:rFonts w:ascii="黑体" w:hAnsi="黑体" w:eastAsia="黑体"/>
                <w:szCs w:val="21"/>
              </w:rPr>
            </w:pPr>
            <w:r>
              <w:rPr>
                <w:rFonts w:hint="eastAsia" w:ascii="黑体" w:hAnsi="黑体" w:eastAsia="黑体"/>
                <w:kern w:val="0"/>
                <w:szCs w:val="21"/>
              </w:rPr>
              <w:t>（二）部分公开（</w:t>
            </w:r>
            <w:bookmarkStart w:id="1" w:name="_Hlk66973981"/>
            <w:r>
              <w:rPr>
                <w:rFonts w:hint="eastAsia" w:ascii="黑体" w:hAnsi="黑体" w:eastAsia="黑体"/>
                <w:kern w:val="0"/>
                <w:szCs w:val="21"/>
              </w:rPr>
              <w:t>区分处理的，只计这一情形，不计其他情形</w:t>
            </w:r>
            <w:bookmarkEnd w:id="1"/>
            <w:r>
              <w:rPr>
                <w:rFonts w:hint="eastAsia" w:ascii="黑体" w:hAnsi="黑体" w:eastAsia="黑体"/>
                <w:kern w:val="0"/>
                <w:szCs w:val="21"/>
              </w:rPr>
              <w:t>）</w:t>
            </w:r>
          </w:p>
        </w:tc>
        <w:tc>
          <w:tcPr>
            <w:tcW w:w="510"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4"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2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11"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4" w:hRule="exact"/>
          <w:jc w:val="center"/>
        </w:trPr>
        <w:tc>
          <w:tcPr>
            <w:tcW w:w="415" w:type="dxa"/>
            <w:vMerge w:val="continue"/>
            <w:noWrap w:val="0"/>
            <w:tcMar>
              <w:left w:w="108" w:type="dxa"/>
              <w:right w:w="108" w:type="dxa"/>
            </w:tcMar>
            <w:vAlign w:val="center"/>
          </w:tcPr>
          <w:p>
            <w:pPr>
              <w:rPr>
                <w:rFonts w:ascii="黑体" w:hAnsi="黑体" w:eastAsia="黑体"/>
                <w:szCs w:val="21"/>
              </w:rPr>
            </w:pPr>
          </w:p>
        </w:tc>
        <w:tc>
          <w:tcPr>
            <w:tcW w:w="1714" w:type="dxa"/>
            <w:vMerge w:val="restart"/>
            <w:noWrap w:val="0"/>
            <w:tcMar>
              <w:left w:w="108" w:type="dxa"/>
              <w:right w:w="108" w:type="dxa"/>
            </w:tcMar>
            <w:vAlign w:val="center"/>
          </w:tcPr>
          <w:p>
            <w:pPr>
              <w:widowControl/>
              <w:spacing w:line="360" w:lineRule="auto"/>
              <w:ind w:left="-112" w:leftChars="-51"/>
              <w:rPr>
                <w:rFonts w:ascii="黑体" w:hAnsi="黑体" w:eastAsia="黑体"/>
                <w:szCs w:val="21"/>
              </w:rPr>
            </w:pPr>
            <w:r>
              <w:rPr>
                <w:rFonts w:hint="eastAsia" w:ascii="黑体" w:hAnsi="黑体" w:eastAsia="黑体"/>
                <w:kern w:val="0"/>
                <w:szCs w:val="21"/>
              </w:rPr>
              <w:t>（三）不予公开</w:t>
            </w:r>
          </w:p>
        </w:tc>
        <w:tc>
          <w:tcPr>
            <w:tcW w:w="3216" w:type="dxa"/>
            <w:noWrap w:val="0"/>
            <w:tcMar>
              <w:left w:w="108" w:type="dxa"/>
              <w:right w:w="108" w:type="dxa"/>
            </w:tcMar>
            <w:vAlign w:val="center"/>
          </w:tcPr>
          <w:p>
            <w:pPr>
              <w:widowControl/>
              <w:spacing w:line="300" w:lineRule="exact"/>
              <w:rPr>
                <w:rFonts w:hint="eastAsia" w:ascii="仿宋_GB2312" w:hAnsi="黑体" w:eastAsia="仿宋_GB2312"/>
                <w:kern w:val="0"/>
                <w:szCs w:val="21"/>
              </w:rPr>
            </w:pPr>
            <w:r>
              <w:rPr>
                <w:rFonts w:hint="eastAsia" w:ascii="仿宋_GB2312" w:hAnsi="黑体" w:eastAsia="仿宋_GB2312"/>
                <w:kern w:val="0"/>
                <w:szCs w:val="21"/>
              </w:rPr>
              <w:t>1.属于国家秘密</w:t>
            </w:r>
          </w:p>
        </w:tc>
        <w:tc>
          <w:tcPr>
            <w:tcW w:w="5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1"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4" w:hRule="exact"/>
          <w:jc w:val="center"/>
        </w:trPr>
        <w:tc>
          <w:tcPr>
            <w:tcW w:w="415" w:type="dxa"/>
            <w:vMerge w:val="continue"/>
            <w:noWrap w:val="0"/>
            <w:tcMar>
              <w:left w:w="108" w:type="dxa"/>
              <w:right w:w="108" w:type="dxa"/>
            </w:tcMar>
            <w:vAlign w:val="center"/>
          </w:tcPr>
          <w:p>
            <w:pPr>
              <w:rPr>
                <w:rFonts w:ascii="黑体" w:hAnsi="黑体" w:eastAsia="黑体"/>
                <w:szCs w:val="21"/>
              </w:rPr>
            </w:pPr>
          </w:p>
        </w:tc>
        <w:tc>
          <w:tcPr>
            <w:tcW w:w="1714" w:type="dxa"/>
            <w:vMerge w:val="continue"/>
            <w:noWrap w:val="0"/>
            <w:tcMar>
              <w:left w:w="108" w:type="dxa"/>
              <w:right w:w="108" w:type="dxa"/>
            </w:tcMar>
            <w:vAlign w:val="center"/>
          </w:tcPr>
          <w:p>
            <w:pPr>
              <w:spacing w:line="200" w:lineRule="exact"/>
              <w:rPr>
                <w:rFonts w:ascii="黑体" w:hAnsi="黑体" w:eastAsia="黑体"/>
                <w:szCs w:val="21"/>
              </w:rPr>
            </w:pPr>
          </w:p>
        </w:tc>
        <w:tc>
          <w:tcPr>
            <w:tcW w:w="3216" w:type="dxa"/>
            <w:noWrap w:val="0"/>
            <w:tcMar>
              <w:left w:w="108" w:type="dxa"/>
              <w:right w:w="108" w:type="dxa"/>
            </w:tcMar>
            <w:vAlign w:val="center"/>
          </w:tcPr>
          <w:p>
            <w:pPr>
              <w:widowControl/>
              <w:spacing w:line="300" w:lineRule="exact"/>
              <w:rPr>
                <w:rFonts w:hint="eastAsia" w:ascii="仿宋_GB2312" w:hAnsi="黑体" w:eastAsia="仿宋_GB2312"/>
                <w:kern w:val="0"/>
                <w:szCs w:val="21"/>
              </w:rPr>
            </w:pPr>
            <w:r>
              <w:rPr>
                <w:rFonts w:hint="eastAsia" w:ascii="仿宋_GB2312" w:hAnsi="黑体" w:eastAsia="仿宋_GB2312"/>
                <w:kern w:val="0"/>
                <w:szCs w:val="21"/>
              </w:rPr>
              <w:t>2.</w:t>
            </w:r>
            <w:bookmarkStart w:id="2" w:name="_Hlk66974104"/>
            <w:r>
              <w:rPr>
                <w:rFonts w:hint="eastAsia" w:ascii="仿宋_GB2312" w:hAnsi="黑体" w:eastAsia="仿宋_GB2312"/>
                <w:kern w:val="0"/>
                <w:szCs w:val="21"/>
              </w:rPr>
              <w:t>其他法律行政法规禁止公开</w:t>
            </w:r>
            <w:bookmarkEnd w:id="2"/>
          </w:p>
        </w:tc>
        <w:tc>
          <w:tcPr>
            <w:tcW w:w="5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1"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434" w:hRule="exact"/>
          <w:jc w:val="center"/>
        </w:trPr>
        <w:tc>
          <w:tcPr>
            <w:tcW w:w="415" w:type="dxa"/>
            <w:vMerge w:val="continue"/>
            <w:noWrap w:val="0"/>
            <w:tcMar>
              <w:left w:w="108" w:type="dxa"/>
              <w:right w:w="108" w:type="dxa"/>
            </w:tcMar>
            <w:vAlign w:val="center"/>
          </w:tcPr>
          <w:p>
            <w:pPr>
              <w:rPr>
                <w:rFonts w:ascii="黑体" w:hAnsi="黑体" w:eastAsia="黑体"/>
                <w:szCs w:val="21"/>
              </w:rPr>
            </w:pPr>
          </w:p>
        </w:tc>
        <w:tc>
          <w:tcPr>
            <w:tcW w:w="1714" w:type="dxa"/>
            <w:vMerge w:val="continue"/>
            <w:noWrap w:val="0"/>
            <w:tcMar>
              <w:left w:w="108" w:type="dxa"/>
              <w:right w:w="108" w:type="dxa"/>
            </w:tcMar>
            <w:vAlign w:val="center"/>
          </w:tcPr>
          <w:p>
            <w:pPr>
              <w:spacing w:line="200" w:lineRule="exact"/>
              <w:rPr>
                <w:rFonts w:ascii="黑体" w:hAnsi="黑体" w:eastAsia="黑体"/>
                <w:szCs w:val="21"/>
              </w:rPr>
            </w:pPr>
          </w:p>
        </w:tc>
        <w:tc>
          <w:tcPr>
            <w:tcW w:w="3216" w:type="dxa"/>
            <w:noWrap w:val="0"/>
            <w:tcMar>
              <w:left w:w="108" w:type="dxa"/>
              <w:right w:w="108" w:type="dxa"/>
            </w:tcMar>
            <w:vAlign w:val="center"/>
          </w:tcPr>
          <w:p>
            <w:pPr>
              <w:widowControl/>
              <w:spacing w:line="300" w:lineRule="exact"/>
              <w:rPr>
                <w:rFonts w:hint="eastAsia" w:ascii="仿宋_GB2312" w:hAnsi="黑体" w:eastAsia="仿宋_GB2312"/>
                <w:kern w:val="0"/>
                <w:szCs w:val="21"/>
              </w:rPr>
            </w:pPr>
            <w:r>
              <w:rPr>
                <w:rFonts w:hint="eastAsia" w:ascii="仿宋_GB2312" w:hAnsi="黑体" w:eastAsia="仿宋_GB2312"/>
                <w:kern w:val="0"/>
                <w:szCs w:val="21"/>
              </w:rPr>
              <w:t>3.危及“三安全一稳定”</w:t>
            </w:r>
          </w:p>
        </w:tc>
        <w:tc>
          <w:tcPr>
            <w:tcW w:w="5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1"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4" w:hRule="exact"/>
          <w:jc w:val="center"/>
        </w:trPr>
        <w:tc>
          <w:tcPr>
            <w:tcW w:w="415" w:type="dxa"/>
            <w:vMerge w:val="continue"/>
            <w:noWrap w:val="0"/>
            <w:tcMar>
              <w:left w:w="108" w:type="dxa"/>
              <w:right w:w="108" w:type="dxa"/>
            </w:tcMar>
            <w:vAlign w:val="center"/>
          </w:tcPr>
          <w:p>
            <w:pPr>
              <w:rPr>
                <w:rFonts w:ascii="黑体" w:hAnsi="黑体" w:eastAsia="黑体"/>
                <w:szCs w:val="21"/>
              </w:rPr>
            </w:pPr>
          </w:p>
        </w:tc>
        <w:tc>
          <w:tcPr>
            <w:tcW w:w="1714" w:type="dxa"/>
            <w:vMerge w:val="continue"/>
            <w:noWrap w:val="0"/>
            <w:tcMar>
              <w:left w:w="108" w:type="dxa"/>
              <w:right w:w="108" w:type="dxa"/>
            </w:tcMar>
            <w:vAlign w:val="center"/>
          </w:tcPr>
          <w:p>
            <w:pPr>
              <w:spacing w:line="200" w:lineRule="exact"/>
              <w:rPr>
                <w:rFonts w:ascii="黑体" w:hAnsi="黑体" w:eastAsia="黑体"/>
                <w:szCs w:val="21"/>
              </w:rPr>
            </w:pPr>
          </w:p>
        </w:tc>
        <w:tc>
          <w:tcPr>
            <w:tcW w:w="3216" w:type="dxa"/>
            <w:noWrap w:val="0"/>
            <w:tcMar>
              <w:left w:w="108" w:type="dxa"/>
              <w:right w:w="108" w:type="dxa"/>
            </w:tcMar>
            <w:vAlign w:val="center"/>
          </w:tcPr>
          <w:p>
            <w:pPr>
              <w:widowControl/>
              <w:spacing w:line="300" w:lineRule="exact"/>
              <w:rPr>
                <w:rFonts w:hint="eastAsia" w:ascii="仿宋_GB2312" w:hAnsi="黑体" w:eastAsia="仿宋_GB2312"/>
                <w:kern w:val="0"/>
                <w:szCs w:val="21"/>
              </w:rPr>
            </w:pPr>
            <w:r>
              <w:rPr>
                <w:rFonts w:hint="eastAsia" w:ascii="仿宋_GB2312" w:hAnsi="黑体" w:eastAsia="仿宋_GB2312"/>
                <w:kern w:val="0"/>
                <w:szCs w:val="21"/>
              </w:rPr>
              <w:t>4.</w:t>
            </w:r>
            <w:bookmarkStart w:id="3" w:name="_Hlk66974290"/>
            <w:r>
              <w:rPr>
                <w:rFonts w:hint="eastAsia" w:ascii="仿宋_GB2312" w:hAnsi="黑体" w:eastAsia="仿宋_GB2312"/>
                <w:kern w:val="0"/>
                <w:szCs w:val="21"/>
              </w:rPr>
              <w:t>保护第三方合法权益</w:t>
            </w:r>
            <w:bookmarkEnd w:id="3"/>
          </w:p>
        </w:tc>
        <w:tc>
          <w:tcPr>
            <w:tcW w:w="5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1"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4" w:hRule="exact"/>
          <w:jc w:val="center"/>
        </w:trPr>
        <w:tc>
          <w:tcPr>
            <w:tcW w:w="415" w:type="dxa"/>
            <w:vMerge w:val="continue"/>
            <w:noWrap w:val="0"/>
            <w:tcMar>
              <w:left w:w="108" w:type="dxa"/>
              <w:right w:w="108" w:type="dxa"/>
            </w:tcMar>
            <w:vAlign w:val="center"/>
          </w:tcPr>
          <w:p>
            <w:pPr>
              <w:rPr>
                <w:rFonts w:ascii="黑体" w:hAnsi="黑体" w:eastAsia="黑体"/>
                <w:szCs w:val="21"/>
              </w:rPr>
            </w:pPr>
          </w:p>
        </w:tc>
        <w:tc>
          <w:tcPr>
            <w:tcW w:w="1714" w:type="dxa"/>
            <w:vMerge w:val="continue"/>
            <w:noWrap w:val="0"/>
            <w:tcMar>
              <w:left w:w="108" w:type="dxa"/>
              <w:right w:w="108" w:type="dxa"/>
            </w:tcMar>
            <w:vAlign w:val="center"/>
          </w:tcPr>
          <w:p>
            <w:pPr>
              <w:spacing w:line="200" w:lineRule="exact"/>
              <w:rPr>
                <w:rFonts w:ascii="黑体" w:hAnsi="黑体" w:eastAsia="黑体"/>
                <w:szCs w:val="21"/>
              </w:rPr>
            </w:pPr>
          </w:p>
        </w:tc>
        <w:tc>
          <w:tcPr>
            <w:tcW w:w="3216" w:type="dxa"/>
            <w:noWrap w:val="0"/>
            <w:tcMar>
              <w:left w:w="108" w:type="dxa"/>
              <w:right w:w="108" w:type="dxa"/>
            </w:tcMar>
            <w:vAlign w:val="center"/>
          </w:tcPr>
          <w:p>
            <w:pPr>
              <w:widowControl/>
              <w:spacing w:line="300" w:lineRule="exact"/>
              <w:rPr>
                <w:rFonts w:hint="eastAsia" w:ascii="仿宋_GB2312" w:hAnsi="黑体" w:eastAsia="仿宋_GB2312"/>
                <w:kern w:val="0"/>
                <w:szCs w:val="21"/>
              </w:rPr>
            </w:pPr>
            <w:r>
              <w:rPr>
                <w:rFonts w:hint="eastAsia" w:ascii="仿宋_GB2312" w:hAnsi="黑体" w:eastAsia="仿宋_GB2312"/>
                <w:kern w:val="0"/>
                <w:szCs w:val="21"/>
              </w:rPr>
              <w:t>5.属于三类内部事务信息</w:t>
            </w:r>
          </w:p>
        </w:tc>
        <w:tc>
          <w:tcPr>
            <w:tcW w:w="5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1"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4" w:hRule="exact"/>
          <w:jc w:val="center"/>
        </w:trPr>
        <w:tc>
          <w:tcPr>
            <w:tcW w:w="415" w:type="dxa"/>
            <w:vMerge w:val="continue"/>
            <w:noWrap w:val="0"/>
            <w:tcMar>
              <w:left w:w="108" w:type="dxa"/>
              <w:right w:w="108" w:type="dxa"/>
            </w:tcMar>
            <w:vAlign w:val="center"/>
          </w:tcPr>
          <w:p>
            <w:pPr>
              <w:rPr>
                <w:rFonts w:ascii="黑体" w:hAnsi="黑体" w:eastAsia="黑体"/>
                <w:szCs w:val="21"/>
              </w:rPr>
            </w:pPr>
          </w:p>
        </w:tc>
        <w:tc>
          <w:tcPr>
            <w:tcW w:w="1714" w:type="dxa"/>
            <w:vMerge w:val="continue"/>
            <w:noWrap w:val="0"/>
            <w:tcMar>
              <w:left w:w="108" w:type="dxa"/>
              <w:right w:w="108" w:type="dxa"/>
            </w:tcMar>
            <w:vAlign w:val="center"/>
          </w:tcPr>
          <w:p>
            <w:pPr>
              <w:spacing w:line="200" w:lineRule="exact"/>
              <w:rPr>
                <w:rFonts w:ascii="黑体" w:hAnsi="黑体" w:eastAsia="黑体"/>
                <w:szCs w:val="21"/>
              </w:rPr>
            </w:pPr>
          </w:p>
        </w:tc>
        <w:tc>
          <w:tcPr>
            <w:tcW w:w="3216" w:type="dxa"/>
            <w:noWrap w:val="0"/>
            <w:tcMar>
              <w:left w:w="108" w:type="dxa"/>
              <w:right w:w="108" w:type="dxa"/>
            </w:tcMar>
            <w:vAlign w:val="center"/>
          </w:tcPr>
          <w:p>
            <w:pPr>
              <w:widowControl/>
              <w:spacing w:line="300" w:lineRule="exact"/>
              <w:rPr>
                <w:rFonts w:hint="eastAsia" w:ascii="仿宋_GB2312" w:hAnsi="黑体" w:eastAsia="仿宋_GB2312"/>
                <w:kern w:val="0"/>
                <w:szCs w:val="21"/>
              </w:rPr>
            </w:pPr>
            <w:r>
              <w:rPr>
                <w:rFonts w:hint="eastAsia" w:ascii="仿宋_GB2312" w:hAnsi="黑体" w:eastAsia="仿宋_GB2312"/>
                <w:kern w:val="0"/>
                <w:szCs w:val="21"/>
              </w:rPr>
              <w:t>6.</w:t>
            </w:r>
            <w:bookmarkStart w:id="4" w:name="_Hlk66974555"/>
            <w:r>
              <w:rPr>
                <w:rFonts w:hint="eastAsia" w:ascii="仿宋_GB2312" w:hAnsi="黑体" w:eastAsia="仿宋_GB2312"/>
                <w:kern w:val="0"/>
                <w:szCs w:val="21"/>
              </w:rPr>
              <w:t>属于四类过程性信息</w:t>
            </w:r>
            <w:bookmarkEnd w:id="4"/>
          </w:p>
        </w:tc>
        <w:tc>
          <w:tcPr>
            <w:tcW w:w="5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1"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434" w:hRule="exact"/>
          <w:jc w:val="center"/>
        </w:trPr>
        <w:tc>
          <w:tcPr>
            <w:tcW w:w="415" w:type="dxa"/>
            <w:vMerge w:val="continue"/>
            <w:noWrap w:val="0"/>
            <w:tcMar>
              <w:left w:w="108" w:type="dxa"/>
              <w:right w:w="108" w:type="dxa"/>
            </w:tcMar>
            <w:vAlign w:val="center"/>
          </w:tcPr>
          <w:p>
            <w:pPr>
              <w:rPr>
                <w:rFonts w:ascii="黑体" w:hAnsi="黑体" w:eastAsia="黑体"/>
                <w:szCs w:val="21"/>
              </w:rPr>
            </w:pPr>
          </w:p>
        </w:tc>
        <w:tc>
          <w:tcPr>
            <w:tcW w:w="1714" w:type="dxa"/>
            <w:vMerge w:val="continue"/>
            <w:noWrap w:val="0"/>
            <w:tcMar>
              <w:left w:w="108" w:type="dxa"/>
              <w:right w:w="108" w:type="dxa"/>
            </w:tcMar>
            <w:vAlign w:val="center"/>
          </w:tcPr>
          <w:p>
            <w:pPr>
              <w:spacing w:line="200" w:lineRule="exact"/>
              <w:rPr>
                <w:rFonts w:ascii="黑体" w:hAnsi="黑体" w:eastAsia="黑体"/>
                <w:szCs w:val="21"/>
              </w:rPr>
            </w:pPr>
          </w:p>
        </w:tc>
        <w:tc>
          <w:tcPr>
            <w:tcW w:w="3216" w:type="dxa"/>
            <w:noWrap w:val="0"/>
            <w:tcMar>
              <w:left w:w="108" w:type="dxa"/>
              <w:right w:w="108" w:type="dxa"/>
            </w:tcMar>
            <w:vAlign w:val="center"/>
          </w:tcPr>
          <w:p>
            <w:pPr>
              <w:widowControl/>
              <w:spacing w:line="300" w:lineRule="exact"/>
              <w:rPr>
                <w:rFonts w:hint="eastAsia" w:ascii="仿宋_GB2312" w:hAnsi="黑体" w:eastAsia="仿宋_GB2312"/>
                <w:kern w:val="0"/>
                <w:szCs w:val="21"/>
              </w:rPr>
            </w:pPr>
            <w:r>
              <w:rPr>
                <w:rFonts w:hint="eastAsia" w:ascii="仿宋_GB2312" w:hAnsi="黑体" w:eastAsia="仿宋_GB2312"/>
                <w:kern w:val="0"/>
                <w:szCs w:val="21"/>
              </w:rPr>
              <w:t>7.属于行政执法案卷</w:t>
            </w:r>
          </w:p>
        </w:tc>
        <w:tc>
          <w:tcPr>
            <w:tcW w:w="5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1"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4" w:hRule="exact"/>
          <w:jc w:val="center"/>
        </w:trPr>
        <w:tc>
          <w:tcPr>
            <w:tcW w:w="415" w:type="dxa"/>
            <w:vMerge w:val="continue"/>
            <w:noWrap w:val="0"/>
            <w:tcMar>
              <w:left w:w="108" w:type="dxa"/>
              <w:right w:w="108" w:type="dxa"/>
            </w:tcMar>
            <w:vAlign w:val="center"/>
          </w:tcPr>
          <w:p>
            <w:pPr>
              <w:rPr>
                <w:rFonts w:ascii="黑体" w:hAnsi="黑体" w:eastAsia="黑体"/>
                <w:szCs w:val="21"/>
              </w:rPr>
            </w:pPr>
          </w:p>
        </w:tc>
        <w:tc>
          <w:tcPr>
            <w:tcW w:w="1714" w:type="dxa"/>
            <w:vMerge w:val="continue"/>
            <w:noWrap w:val="0"/>
            <w:tcMar>
              <w:left w:w="108" w:type="dxa"/>
              <w:right w:w="108" w:type="dxa"/>
            </w:tcMar>
            <w:vAlign w:val="center"/>
          </w:tcPr>
          <w:p>
            <w:pPr>
              <w:spacing w:line="200" w:lineRule="exact"/>
              <w:rPr>
                <w:rFonts w:ascii="黑体" w:hAnsi="黑体" w:eastAsia="黑体"/>
                <w:szCs w:val="21"/>
              </w:rPr>
            </w:pPr>
          </w:p>
        </w:tc>
        <w:tc>
          <w:tcPr>
            <w:tcW w:w="3216" w:type="dxa"/>
            <w:noWrap w:val="0"/>
            <w:tcMar>
              <w:left w:w="108" w:type="dxa"/>
              <w:right w:w="108" w:type="dxa"/>
            </w:tcMar>
            <w:vAlign w:val="center"/>
          </w:tcPr>
          <w:p>
            <w:pPr>
              <w:widowControl/>
              <w:spacing w:line="300" w:lineRule="exact"/>
              <w:rPr>
                <w:rFonts w:hint="eastAsia" w:ascii="仿宋_GB2312" w:hAnsi="黑体" w:eastAsia="仿宋_GB2312"/>
                <w:kern w:val="0"/>
                <w:szCs w:val="21"/>
              </w:rPr>
            </w:pPr>
            <w:r>
              <w:rPr>
                <w:rFonts w:hint="eastAsia" w:ascii="仿宋_GB2312" w:hAnsi="黑体" w:eastAsia="仿宋_GB2312"/>
                <w:kern w:val="0"/>
                <w:szCs w:val="21"/>
              </w:rPr>
              <w:t>8.</w:t>
            </w:r>
            <w:bookmarkStart w:id="5" w:name="_Hlk66975211"/>
            <w:r>
              <w:rPr>
                <w:rFonts w:hint="eastAsia" w:ascii="仿宋_GB2312" w:hAnsi="黑体" w:eastAsia="仿宋_GB2312"/>
                <w:kern w:val="0"/>
                <w:szCs w:val="21"/>
              </w:rPr>
              <w:t>属于行政查询事项</w:t>
            </w:r>
            <w:bookmarkEnd w:id="5"/>
          </w:p>
        </w:tc>
        <w:tc>
          <w:tcPr>
            <w:tcW w:w="5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1"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4" w:hRule="exact"/>
          <w:jc w:val="center"/>
        </w:trPr>
        <w:tc>
          <w:tcPr>
            <w:tcW w:w="415" w:type="dxa"/>
            <w:vMerge w:val="continue"/>
            <w:noWrap w:val="0"/>
            <w:tcMar>
              <w:left w:w="108" w:type="dxa"/>
              <w:right w:w="108" w:type="dxa"/>
            </w:tcMar>
            <w:vAlign w:val="center"/>
          </w:tcPr>
          <w:p>
            <w:pPr>
              <w:rPr>
                <w:rFonts w:ascii="黑体" w:hAnsi="黑体" w:eastAsia="黑体"/>
                <w:szCs w:val="21"/>
              </w:rPr>
            </w:pPr>
          </w:p>
        </w:tc>
        <w:tc>
          <w:tcPr>
            <w:tcW w:w="1714" w:type="dxa"/>
            <w:vMerge w:val="restart"/>
            <w:noWrap w:val="0"/>
            <w:tcMar>
              <w:left w:w="108" w:type="dxa"/>
              <w:right w:w="108" w:type="dxa"/>
            </w:tcMar>
            <w:vAlign w:val="center"/>
          </w:tcPr>
          <w:p>
            <w:pPr>
              <w:widowControl/>
              <w:spacing w:line="300" w:lineRule="exact"/>
              <w:rPr>
                <w:rFonts w:hint="eastAsia" w:ascii="黑体" w:hAnsi="黑体" w:eastAsia="黑体"/>
                <w:kern w:val="0"/>
                <w:szCs w:val="21"/>
              </w:rPr>
            </w:pPr>
            <w:r>
              <w:rPr>
                <w:rFonts w:hint="eastAsia" w:ascii="黑体" w:hAnsi="黑体" w:eastAsia="黑体"/>
                <w:kern w:val="0"/>
                <w:szCs w:val="21"/>
              </w:rPr>
              <w:t>（四）无法提供</w:t>
            </w:r>
          </w:p>
        </w:tc>
        <w:tc>
          <w:tcPr>
            <w:tcW w:w="3216" w:type="dxa"/>
            <w:noWrap w:val="0"/>
            <w:tcMar>
              <w:left w:w="108" w:type="dxa"/>
              <w:right w:w="108" w:type="dxa"/>
            </w:tcMar>
            <w:vAlign w:val="center"/>
          </w:tcPr>
          <w:p>
            <w:pPr>
              <w:widowControl/>
              <w:spacing w:line="300" w:lineRule="exact"/>
              <w:rPr>
                <w:rFonts w:hint="eastAsia" w:ascii="仿宋_GB2312" w:hAnsi="黑体" w:eastAsia="仿宋_GB2312"/>
                <w:kern w:val="0"/>
                <w:szCs w:val="21"/>
              </w:rPr>
            </w:pPr>
            <w:r>
              <w:rPr>
                <w:rFonts w:hint="eastAsia" w:ascii="仿宋_GB2312" w:hAnsi="黑体" w:eastAsia="仿宋_GB2312"/>
                <w:kern w:val="0"/>
                <w:szCs w:val="21"/>
              </w:rPr>
              <w:t>1.本机关不掌握相关政府信息</w:t>
            </w:r>
          </w:p>
        </w:tc>
        <w:tc>
          <w:tcPr>
            <w:tcW w:w="5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1"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4" w:hRule="exact"/>
          <w:jc w:val="center"/>
        </w:trPr>
        <w:tc>
          <w:tcPr>
            <w:tcW w:w="415" w:type="dxa"/>
            <w:vMerge w:val="continue"/>
            <w:noWrap w:val="0"/>
            <w:tcMar>
              <w:left w:w="108" w:type="dxa"/>
              <w:right w:w="108" w:type="dxa"/>
            </w:tcMar>
            <w:vAlign w:val="center"/>
          </w:tcPr>
          <w:p>
            <w:pPr>
              <w:rPr>
                <w:rFonts w:ascii="黑体" w:hAnsi="黑体" w:eastAsia="黑体"/>
                <w:szCs w:val="21"/>
              </w:rPr>
            </w:pPr>
          </w:p>
        </w:tc>
        <w:tc>
          <w:tcPr>
            <w:tcW w:w="1714" w:type="dxa"/>
            <w:vMerge w:val="continue"/>
            <w:noWrap w:val="0"/>
            <w:tcMar>
              <w:left w:w="108" w:type="dxa"/>
              <w:right w:w="108" w:type="dxa"/>
            </w:tcMar>
            <w:vAlign w:val="center"/>
          </w:tcPr>
          <w:p>
            <w:pPr>
              <w:widowControl/>
              <w:spacing w:line="300" w:lineRule="exact"/>
              <w:rPr>
                <w:rFonts w:hint="eastAsia" w:ascii="黑体" w:hAnsi="黑体" w:eastAsia="黑体"/>
                <w:kern w:val="0"/>
                <w:szCs w:val="21"/>
              </w:rPr>
            </w:pPr>
          </w:p>
        </w:tc>
        <w:tc>
          <w:tcPr>
            <w:tcW w:w="3216" w:type="dxa"/>
            <w:noWrap w:val="0"/>
            <w:tcMar>
              <w:left w:w="108" w:type="dxa"/>
              <w:right w:w="108" w:type="dxa"/>
            </w:tcMar>
            <w:vAlign w:val="center"/>
          </w:tcPr>
          <w:p>
            <w:pPr>
              <w:widowControl/>
              <w:spacing w:line="300" w:lineRule="exact"/>
              <w:rPr>
                <w:rFonts w:hint="eastAsia" w:ascii="仿宋_GB2312" w:hAnsi="黑体" w:eastAsia="仿宋_GB2312"/>
                <w:kern w:val="0"/>
                <w:szCs w:val="21"/>
              </w:rPr>
            </w:pPr>
            <w:r>
              <w:rPr>
                <w:rFonts w:hint="eastAsia" w:ascii="仿宋_GB2312" w:hAnsi="黑体" w:eastAsia="仿宋_GB2312"/>
                <w:kern w:val="0"/>
                <w:szCs w:val="21"/>
              </w:rPr>
              <w:t>2.</w:t>
            </w:r>
            <w:bookmarkStart w:id="6" w:name="_Hlk66975392"/>
            <w:r>
              <w:rPr>
                <w:rFonts w:hint="eastAsia" w:ascii="仿宋_GB2312" w:hAnsi="黑体" w:eastAsia="仿宋_GB2312"/>
                <w:kern w:val="0"/>
                <w:szCs w:val="21"/>
              </w:rPr>
              <w:t>没有现成信息需要另行制作</w:t>
            </w:r>
            <w:bookmarkEnd w:id="6"/>
          </w:p>
        </w:tc>
        <w:tc>
          <w:tcPr>
            <w:tcW w:w="5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1"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434" w:hRule="exact"/>
          <w:jc w:val="center"/>
        </w:trPr>
        <w:tc>
          <w:tcPr>
            <w:tcW w:w="415" w:type="dxa"/>
            <w:vMerge w:val="continue"/>
            <w:noWrap w:val="0"/>
            <w:tcMar>
              <w:left w:w="108" w:type="dxa"/>
              <w:right w:w="108" w:type="dxa"/>
            </w:tcMar>
            <w:vAlign w:val="center"/>
          </w:tcPr>
          <w:p>
            <w:pPr>
              <w:rPr>
                <w:rFonts w:ascii="黑体" w:hAnsi="黑体" w:eastAsia="黑体"/>
                <w:szCs w:val="21"/>
              </w:rPr>
            </w:pPr>
          </w:p>
        </w:tc>
        <w:tc>
          <w:tcPr>
            <w:tcW w:w="1714" w:type="dxa"/>
            <w:vMerge w:val="continue"/>
            <w:noWrap w:val="0"/>
            <w:tcMar>
              <w:left w:w="108" w:type="dxa"/>
              <w:right w:w="108" w:type="dxa"/>
            </w:tcMar>
            <w:vAlign w:val="center"/>
          </w:tcPr>
          <w:p>
            <w:pPr>
              <w:widowControl/>
              <w:spacing w:line="300" w:lineRule="exact"/>
              <w:rPr>
                <w:rFonts w:hint="eastAsia" w:ascii="黑体" w:hAnsi="黑体" w:eastAsia="黑体"/>
                <w:kern w:val="0"/>
                <w:szCs w:val="21"/>
              </w:rPr>
            </w:pPr>
          </w:p>
        </w:tc>
        <w:tc>
          <w:tcPr>
            <w:tcW w:w="3216" w:type="dxa"/>
            <w:noWrap w:val="0"/>
            <w:tcMar>
              <w:left w:w="108" w:type="dxa"/>
              <w:right w:w="108" w:type="dxa"/>
            </w:tcMar>
            <w:vAlign w:val="center"/>
          </w:tcPr>
          <w:p>
            <w:pPr>
              <w:widowControl/>
              <w:spacing w:line="300" w:lineRule="exact"/>
              <w:rPr>
                <w:rFonts w:hint="eastAsia" w:ascii="仿宋_GB2312" w:hAnsi="黑体" w:eastAsia="仿宋_GB2312"/>
                <w:kern w:val="0"/>
                <w:szCs w:val="21"/>
              </w:rPr>
            </w:pPr>
            <w:r>
              <w:rPr>
                <w:rFonts w:hint="eastAsia" w:ascii="仿宋_GB2312" w:hAnsi="黑体" w:eastAsia="仿宋_GB2312"/>
                <w:kern w:val="0"/>
                <w:szCs w:val="21"/>
              </w:rPr>
              <w:t>3.</w:t>
            </w:r>
            <w:bookmarkStart w:id="7" w:name="_Hlk66975466"/>
            <w:r>
              <w:rPr>
                <w:rFonts w:hint="eastAsia" w:ascii="仿宋_GB2312" w:hAnsi="黑体" w:eastAsia="仿宋_GB2312"/>
                <w:kern w:val="0"/>
                <w:szCs w:val="21"/>
              </w:rPr>
              <w:t>补正后申请内容仍不明确</w:t>
            </w:r>
            <w:bookmarkEnd w:id="7"/>
          </w:p>
        </w:tc>
        <w:tc>
          <w:tcPr>
            <w:tcW w:w="5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1"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4" w:hRule="exact"/>
          <w:jc w:val="center"/>
        </w:trPr>
        <w:tc>
          <w:tcPr>
            <w:tcW w:w="415" w:type="dxa"/>
            <w:vMerge w:val="continue"/>
            <w:noWrap w:val="0"/>
            <w:tcMar>
              <w:left w:w="108" w:type="dxa"/>
              <w:right w:w="108" w:type="dxa"/>
            </w:tcMar>
            <w:vAlign w:val="center"/>
          </w:tcPr>
          <w:p>
            <w:pPr>
              <w:rPr>
                <w:rFonts w:ascii="黑体" w:hAnsi="黑体" w:eastAsia="黑体"/>
                <w:szCs w:val="21"/>
              </w:rPr>
            </w:pPr>
          </w:p>
        </w:tc>
        <w:tc>
          <w:tcPr>
            <w:tcW w:w="1714" w:type="dxa"/>
            <w:vMerge w:val="restart"/>
            <w:noWrap w:val="0"/>
            <w:tcMar>
              <w:left w:w="108" w:type="dxa"/>
              <w:right w:w="108" w:type="dxa"/>
            </w:tcMar>
            <w:vAlign w:val="center"/>
          </w:tcPr>
          <w:p>
            <w:pPr>
              <w:widowControl/>
              <w:spacing w:line="300" w:lineRule="exact"/>
              <w:rPr>
                <w:rFonts w:hint="eastAsia" w:ascii="黑体" w:hAnsi="黑体" w:eastAsia="黑体"/>
                <w:kern w:val="0"/>
                <w:szCs w:val="21"/>
              </w:rPr>
            </w:pPr>
            <w:r>
              <w:rPr>
                <w:rFonts w:hint="eastAsia" w:ascii="黑体" w:hAnsi="黑体" w:eastAsia="黑体"/>
                <w:kern w:val="0"/>
                <w:szCs w:val="21"/>
              </w:rPr>
              <w:t>（五）不予处理</w:t>
            </w:r>
          </w:p>
        </w:tc>
        <w:tc>
          <w:tcPr>
            <w:tcW w:w="3216" w:type="dxa"/>
            <w:noWrap w:val="0"/>
            <w:tcMar>
              <w:left w:w="108" w:type="dxa"/>
              <w:right w:w="108" w:type="dxa"/>
            </w:tcMar>
            <w:vAlign w:val="center"/>
          </w:tcPr>
          <w:p>
            <w:pPr>
              <w:widowControl/>
              <w:spacing w:line="300" w:lineRule="exact"/>
              <w:rPr>
                <w:rFonts w:hint="eastAsia" w:ascii="仿宋_GB2312" w:hAnsi="黑体" w:eastAsia="仿宋_GB2312"/>
                <w:kern w:val="0"/>
                <w:szCs w:val="21"/>
              </w:rPr>
            </w:pPr>
            <w:r>
              <w:rPr>
                <w:rFonts w:hint="eastAsia" w:ascii="仿宋_GB2312" w:hAnsi="黑体" w:eastAsia="仿宋_GB2312"/>
                <w:kern w:val="0"/>
                <w:szCs w:val="21"/>
              </w:rPr>
              <w:t>1.</w:t>
            </w:r>
            <w:bookmarkStart w:id="8" w:name="_Hlk66975537"/>
            <w:r>
              <w:rPr>
                <w:rFonts w:hint="eastAsia" w:ascii="仿宋_GB2312" w:hAnsi="黑体" w:eastAsia="仿宋_GB2312"/>
                <w:kern w:val="0"/>
                <w:szCs w:val="21"/>
              </w:rPr>
              <w:t>信访举报投诉类申请</w:t>
            </w:r>
            <w:bookmarkEnd w:id="8"/>
          </w:p>
        </w:tc>
        <w:tc>
          <w:tcPr>
            <w:tcW w:w="5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1"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4" w:hRule="exact"/>
          <w:jc w:val="center"/>
        </w:trPr>
        <w:tc>
          <w:tcPr>
            <w:tcW w:w="415" w:type="dxa"/>
            <w:vMerge w:val="continue"/>
            <w:noWrap w:val="0"/>
            <w:tcMar>
              <w:left w:w="108" w:type="dxa"/>
              <w:right w:w="108" w:type="dxa"/>
            </w:tcMar>
            <w:vAlign w:val="center"/>
          </w:tcPr>
          <w:p>
            <w:pPr>
              <w:rPr>
                <w:rFonts w:ascii="黑体" w:hAnsi="黑体" w:eastAsia="黑体"/>
                <w:szCs w:val="21"/>
              </w:rPr>
            </w:pPr>
          </w:p>
        </w:tc>
        <w:tc>
          <w:tcPr>
            <w:tcW w:w="1714" w:type="dxa"/>
            <w:vMerge w:val="continue"/>
            <w:noWrap w:val="0"/>
            <w:tcMar>
              <w:left w:w="108" w:type="dxa"/>
              <w:right w:w="108" w:type="dxa"/>
            </w:tcMar>
            <w:vAlign w:val="center"/>
          </w:tcPr>
          <w:p>
            <w:pPr>
              <w:spacing w:line="200" w:lineRule="exact"/>
              <w:rPr>
                <w:rFonts w:ascii="黑体" w:hAnsi="黑体" w:eastAsia="黑体"/>
                <w:szCs w:val="21"/>
              </w:rPr>
            </w:pPr>
          </w:p>
        </w:tc>
        <w:tc>
          <w:tcPr>
            <w:tcW w:w="3216" w:type="dxa"/>
            <w:noWrap w:val="0"/>
            <w:tcMar>
              <w:left w:w="108" w:type="dxa"/>
              <w:right w:w="108" w:type="dxa"/>
            </w:tcMar>
            <w:vAlign w:val="center"/>
          </w:tcPr>
          <w:p>
            <w:pPr>
              <w:widowControl/>
              <w:spacing w:line="300" w:lineRule="exact"/>
              <w:rPr>
                <w:rFonts w:hint="eastAsia" w:ascii="仿宋_GB2312" w:hAnsi="黑体" w:eastAsia="仿宋_GB2312"/>
                <w:kern w:val="0"/>
                <w:szCs w:val="21"/>
              </w:rPr>
            </w:pPr>
            <w:r>
              <w:rPr>
                <w:rFonts w:hint="eastAsia" w:ascii="仿宋_GB2312" w:hAnsi="黑体" w:eastAsia="仿宋_GB2312"/>
                <w:kern w:val="0"/>
                <w:szCs w:val="21"/>
              </w:rPr>
              <w:t>2.重复申请</w:t>
            </w:r>
          </w:p>
        </w:tc>
        <w:tc>
          <w:tcPr>
            <w:tcW w:w="5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1"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4" w:hRule="exact"/>
          <w:jc w:val="center"/>
        </w:trPr>
        <w:tc>
          <w:tcPr>
            <w:tcW w:w="415" w:type="dxa"/>
            <w:vMerge w:val="continue"/>
            <w:noWrap w:val="0"/>
            <w:tcMar>
              <w:left w:w="108" w:type="dxa"/>
              <w:right w:w="108" w:type="dxa"/>
            </w:tcMar>
            <w:vAlign w:val="center"/>
          </w:tcPr>
          <w:p>
            <w:pPr>
              <w:rPr>
                <w:rFonts w:ascii="黑体" w:hAnsi="黑体" w:eastAsia="黑体"/>
                <w:szCs w:val="21"/>
              </w:rPr>
            </w:pPr>
          </w:p>
        </w:tc>
        <w:tc>
          <w:tcPr>
            <w:tcW w:w="1714" w:type="dxa"/>
            <w:vMerge w:val="continue"/>
            <w:noWrap w:val="0"/>
            <w:tcMar>
              <w:left w:w="108" w:type="dxa"/>
              <w:right w:w="108" w:type="dxa"/>
            </w:tcMar>
            <w:vAlign w:val="center"/>
          </w:tcPr>
          <w:p>
            <w:pPr>
              <w:spacing w:line="200" w:lineRule="exact"/>
              <w:rPr>
                <w:rFonts w:ascii="黑体" w:hAnsi="黑体" w:eastAsia="黑体"/>
                <w:szCs w:val="21"/>
              </w:rPr>
            </w:pPr>
          </w:p>
        </w:tc>
        <w:tc>
          <w:tcPr>
            <w:tcW w:w="3216" w:type="dxa"/>
            <w:noWrap w:val="0"/>
            <w:tcMar>
              <w:left w:w="108" w:type="dxa"/>
              <w:right w:w="108" w:type="dxa"/>
            </w:tcMar>
            <w:vAlign w:val="center"/>
          </w:tcPr>
          <w:p>
            <w:pPr>
              <w:widowControl/>
              <w:spacing w:line="300" w:lineRule="exact"/>
              <w:rPr>
                <w:rFonts w:hint="eastAsia" w:ascii="仿宋_GB2312" w:hAnsi="黑体" w:eastAsia="仿宋_GB2312"/>
                <w:kern w:val="0"/>
                <w:szCs w:val="21"/>
              </w:rPr>
            </w:pPr>
            <w:r>
              <w:rPr>
                <w:rFonts w:hint="eastAsia" w:ascii="仿宋_GB2312" w:hAnsi="黑体" w:eastAsia="仿宋_GB2312"/>
                <w:kern w:val="0"/>
                <w:szCs w:val="21"/>
              </w:rPr>
              <w:t>3.要求提供公开出版物</w:t>
            </w:r>
          </w:p>
        </w:tc>
        <w:tc>
          <w:tcPr>
            <w:tcW w:w="5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1"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78" w:hRule="exact"/>
          <w:jc w:val="center"/>
        </w:trPr>
        <w:tc>
          <w:tcPr>
            <w:tcW w:w="415" w:type="dxa"/>
            <w:vMerge w:val="continue"/>
            <w:noWrap w:val="0"/>
            <w:tcMar>
              <w:left w:w="108" w:type="dxa"/>
              <w:right w:w="108" w:type="dxa"/>
            </w:tcMar>
            <w:vAlign w:val="center"/>
          </w:tcPr>
          <w:p>
            <w:pPr>
              <w:rPr>
                <w:rFonts w:ascii="黑体" w:hAnsi="黑体" w:eastAsia="黑体"/>
                <w:szCs w:val="21"/>
              </w:rPr>
            </w:pPr>
          </w:p>
        </w:tc>
        <w:tc>
          <w:tcPr>
            <w:tcW w:w="1714" w:type="dxa"/>
            <w:vMerge w:val="continue"/>
            <w:noWrap w:val="0"/>
            <w:tcMar>
              <w:left w:w="108" w:type="dxa"/>
              <w:right w:w="108" w:type="dxa"/>
            </w:tcMar>
            <w:vAlign w:val="center"/>
          </w:tcPr>
          <w:p>
            <w:pPr>
              <w:spacing w:line="200" w:lineRule="exact"/>
              <w:rPr>
                <w:rFonts w:ascii="黑体" w:hAnsi="黑体" w:eastAsia="黑体"/>
                <w:szCs w:val="21"/>
              </w:rPr>
            </w:pPr>
          </w:p>
        </w:tc>
        <w:tc>
          <w:tcPr>
            <w:tcW w:w="3216" w:type="dxa"/>
            <w:noWrap w:val="0"/>
            <w:tcMar>
              <w:left w:w="108" w:type="dxa"/>
              <w:right w:w="108" w:type="dxa"/>
            </w:tcMar>
            <w:vAlign w:val="center"/>
          </w:tcPr>
          <w:p>
            <w:pPr>
              <w:widowControl/>
              <w:spacing w:line="300" w:lineRule="exact"/>
              <w:rPr>
                <w:rFonts w:hint="eastAsia" w:ascii="仿宋_GB2312" w:hAnsi="黑体" w:eastAsia="仿宋_GB2312"/>
                <w:kern w:val="0"/>
                <w:szCs w:val="21"/>
              </w:rPr>
            </w:pPr>
            <w:r>
              <w:rPr>
                <w:rFonts w:hint="eastAsia" w:ascii="仿宋_GB2312" w:hAnsi="黑体" w:eastAsia="仿宋_GB2312"/>
                <w:kern w:val="0"/>
                <w:szCs w:val="21"/>
              </w:rPr>
              <w:t>4.无正当理由大量反复申请</w:t>
            </w:r>
          </w:p>
        </w:tc>
        <w:tc>
          <w:tcPr>
            <w:tcW w:w="5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1"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25" w:hRule="atLeast"/>
          <w:jc w:val="center"/>
        </w:trPr>
        <w:tc>
          <w:tcPr>
            <w:tcW w:w="415" w:type="dxa"/>
            <w:vMerge w:val="continue"/>
            <w:noWrap w:val="0"/>
            <w:tcMar>
              <w:left w:w="108" w:type="dxa"/>
              <w:right w:w="108" w:type="dxa"/>
            </w:tcMar>
            <w:vAlign w:val="center"/>
          </w:tcPr>
          <w:p>
            <w:pPr>
              <w:rPr>
                <w:rFonts w:ascii="黑体" w:hAnsi="黑体" w:eastAsia="黑体"/>
                <w:szCs w:val="21"/>
              </w:rPr>
            </w:pPr>
          </w:p>
        </w:tc>
        <w:tc>
          <w:tcPr>
            <w:tcW w:w="1714" w:type="dxa"/>
            <w:vMerge w:val="continue"/>
            <w:noWrap w:val="0"/>
            <w:tcMar>
              <w:left w:w="108" w:type="dxa"/>
              <w:right w:w="108" w:type="dxa"/>
            </w:tcMar>
            <w:vAlign w:val="center"/>
          </w:tcPr>
          <w:p>
            <w:pPr>
              <w:spacing w:line="200" w:lineRule="exact"/>
              <w:rPr>
                <w:rFonts w:ascii="黑体" w:hAnsi="黑体" w:eastAsia="黑体"/>
                <w:szCs w:val="21"/>
              </w:rPr>
            </w:pPr>
          </w:p>
        </w:tc>
        <w:tc>
          <w:tcPr>
            <w:tcW w:w="3216" w:type="dxa"/>
            <w:noWrap w:val="0"/>
            <w:tcMar>
              <w:left w:w="108" w:type="dxa"/>
              <w:right w:w="108" w:type="dxa"/>
            </w:tcMar>
            <w:vAlign w:val="center"/>
          </w:tcPr>
          <w:p>
            <w:pPr>
              <w:widowControl/>
              <w:spacing w:line="300" w:lineRule="exact"/>
              <w:rPr>
                <w:rFonts w:ascii="仿宋_GB2312" w:hAnsi="黑体" w:eastAsia="仿宋_GB2312"/>
                <w:kern w:val="0"/>
                <w:szCs w:val="21"/>
              </w:rPr>
            </w:pPr>
            <w:r>
              <w:rPr>
                <w:rFonts w:hint="eastAsia" w:ascii="仿宋_GB2312" w:hAnsi="黑体" w:eastAsia="仿宋_GB2312"/>
                <w:kern w:val="0"/>
                <w:szCs w:val="21"/>
              </w:rPr>
              <w:t>5.要求行政机关确认或重新</w:t>
            </w:r>
          </w:p>
          <w:p>
            <w:pPr>
              <w:widowControl/>
              <w:spacing w:line="300" w:lineRule="exact"/>
              <w:ind w:firstLine="220" w:firstLineChars="100"/>
              <w:rPr>
                <w:rFonts w:ascii="仿宋_GB2312" w:hAnsi="黑体" w:eastAsia="仿宋_GB2312"/>
                <w:szCs w:val="21"/>
              </w:rPr>
            </w:pPr>
            <w:r>
              <w:rPr>
                <w:rFonts w:hint="eastAsia" w:ascii="仿宋_GB2312" w:hAnsi="黑体" w:eastAsia="仿宋_GB2312"/>
                <w:kern w:val="0"/>
                <w:szCs w:val="21"/>
              </w:rPr>
              <w:t>出具已获取信息</w:t>
            </w:r>
          </w:p>
        </w:tc>
        <w:tc>
          <w:tcPr>
            <w:tcW w:w="5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1"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26" w:hRule="atLeast"/>
          <w:jc w:val="center"/>
        </w:trPr>
        <w:tc>
          <w:tcPr>
            <w:tcW w:w="415" w:type="dxa"/>
            <w:vMerge w:val="continue"/>
            <w:noWrap w:val="0"/>
            <w:tcMar>
              <w:left w:w="108" w:type="dxa"/>
              <w:right w:w="108" w:type="dxa"/>
            </w:tcMar>
            <w:vAlign w:val="center"/>
          </w:tcPr>
          <w:p>
            <w:pPr>
              <w:rPr>
                <w:rFonts w:ascii="黑体" w:hAnsi="黑体" w:eastAsia="黑体"/>
                <w:szCs w:val="21"/>
              </w:rPr>
            </w:pPr>
          </w:p>
        </w:tc>
        <w:tc>
          <w:tcPr>
            <w:tcW w:w="1714" w:type="dxa"/>
            <w:vMerge w:val="restart"/>
            <w:noWrap w:val="0"/>
            <w:tcMar>
              <w:left w:w="108" w:type="dxa"/>
              <w:right w:w="108" w:type="dxa"/>
            </w:tcMar>
            <w:vAlign w:val="center"/>
          </w:tcPr>
          <w:p>
            <w:pPr>
              <w:widowControl/>
              <w:spacing w:line="300" w:lineRule="exact"/>
              <w:rPr>
                <w:rFonts w:ascii="黑体" w:hAnsi="黑体" w:eastAsia="黑体"/>
                <w:kern w:val="0"/>
                <w:szCs w:val="21"/>
              </w:rPr>
            </w:pPr>
            <w:r>
              <w:rPr>
                <w:rFonts w:hint="eastAsia" w:ascii="黑体" w:hAnsi="黑体" w:eastAsia="黑体"/>
                <w:kern w:val="0"/>
                <w:szCs w:val="21"/>
              </w:rPr>
              <w:t>（六）其他处理</w:t>
            </w:r>
          </w:p>
        </w:tc>
        <w:tc>
          <w:tcPr>
            <w:tcW w:w="3216" w:type="dxa"/>
            <w:noWrap w:val="0"/>
            <w:vAlign w:val="center"/>
          </w:tcPr>
          <w:p>
            <w:pPr>
              <w:widowControl/>
              <w:spacing w:line="300" w:lineRule="exact"/>
              <w:rPr>
                <w:rFonts w:ascii="仿宋_GB2312" w:hAnsi="楷体" w:eastAsia="仿宋_GB2312"/>
              </w:rPr>
            </w:pPr>
            <w:r>
              <w:rPr>
                <w:rFonts w:hint="eastAsia" w:ascii="仿宋_GB2312" w:hAnsi="楷体" w:eastAsia="仿宋_GB2312"/>
              </w:rPr>
              <w:t>1.申请人无正当理由逾期不补正、行政机关不再处理其政府信息公开申请</w:t>
            </w:r>
          </w:p>
        </w:tc>
        <w:tc>
          <w:tcPr>
            <w:tcW w:w="5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1"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26" w:hRule="atLeast"/>
          <w:jc w:val="center"/>
        </w:trPr>
        <w:tc>
          <w:tcPr>
            <w:tcW w:w="415" w:type="dxa"/>
            <w:vMerge w:val="continue"/>
            <w:noWrap w:val="0"/>
            <w:tcMar>
              <w:left w:w="108" w:type="dxa"/>
              <w:right w:w="108" w:type="dxa"/>
            </w:tcMar>
            <w:vAlign w:val="center"/>
          </w:tcPr>
          <w:p>
            <w:pPr>
              <w:rPr>
                <w:rFonts w:ascii="黑体" w:hAnsi="黑体" w:eastAsia="黑体"/>
                <w:szCs w:val="21"/>
              </w:rPr>
            </w:pPr>
          </w:p>
        </w:tc>
        <w:tc>
          <w:tcPr>
            <w:tcW w:w="1714" w:type="dxa"/>
            <w:vMerge w:val="continue"/>
            <w:noWrap w:val="0"/>
            <w:tcMar>
              <w:left w:w="108" w:type="dxa"/>
              <w:right w:w="108" w:type="dxa"/>
            </w:tcMar>
            <w:vAlign w:val="center"/>
          </w:tcPr>
          <w:p>
            <w:pPr>
              <w:widowControl/>
              <w:spacing w:line="300" w:lineRule="exact"/>
              <w:rPr>
                <w:rFonts w:ascii="黑体" w:hAnsi="黑体" w:eastAsia="黑体"/>
                <w:kern w:val="0"/>
                <w:szCs w:val="21"/>
              </w:rPr>
            </w:pPr>
          </w:p>
        </w:tc>
        <w:tc>
          <w:tcPr>
            <w:tcW w:w="3216" w:type="dxa"/>
            <w:noWrap w:val="0"/>
            <w:vAlign w:val="center"/>
          </w:tcPr>
          <w:p>
            <w:pPr>
              <w:widowControl/>
              <w:spacing w:line="300" w:lineRule="exact"/>
              <w:rPr>
                <w:rFonts w:ascii="仿宋_GB2312" w:hAnsi="黑体" w:eastAsia="仿宋_GB2312"/>
                <w:kern w:val="0"/>
                <w:szCs w:val="21"/>
              </w:rPr>
            </w:pPr>
            <w:r>
              <w:rPr>
                <w:rFonts w:hint="eastAsia" w:ascii="仿宋_GB2312" w:hAnsi="楷体" w:eastAsia="仿宋_GB2312"/>
              </w:rPr>
              <w:t>2.申请人逾期未按收费通知要求缴纳费用、行政机关不再处理其政府信息公开申请</w:t>
            </w:r>
          </w:p>
        </w:tc>
        <w:tc>
          <w:tcPr>
            <w:tcW w:w="5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1"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7" w:hRule="atLeast"/>
          <w:jc w:val="center"/>
        </w:trPr>
        <w:tc>
          <w:tcPr>
            <w:tcW w:w="415" w:type="dxa"/>
            <w:vMerge w:val="continue"/>
            <w:noWrap w:val="0"/>
            <w:tcMar>
              <w:left w:w="108" w:type="dxa"/>
              <w:right w:w="108" w:type="dxa"/>
            </w:tcMar>
            <w:vAlign w:val="center"/>
          </w:tcPr>
          <w:p>
            <w:pPr>
              <w:rPr>
                <w:rFonts w:ascii="黑体" w:hAnsi="黑体" w:eastAsia="黑体"/>
                <w:szCs w:val="21"/>
              </w:rPr>
            </w:pPr>
          </w:p>
        </w:tc>
        <w:tc>
          <w:tcPr>
            <w:tcW w:w="1714" w:type="dxa"/>
            <w:vMerge w:val="continue"/>
            <w:noWrap w:val="0"/>
            <w:tcMar>
              <w:left w:w="108" w:type="dxa"/>
              <w:right w:w="108" w:type="dxa"/>
            </w:tcMar>
            <w:vAlign w:val="center"/>
          </w:tcPr>
          <w:p>
            <w:pPr>
              <w:widowControl/>
              <w:spacing w:line="300" w:lineRule="exact"/>
              <w:rPr>
                <w:rFonts w:ascii="黑体" w:hAnsi="黑体" w:eastAsia="黑体"/>
                <w:kern w:val="0"/>
                <w:szCs w:val="21"/>
              </w:rPr>
            </w:pPr>
          </w:p>
        </w:tc>
        <w:tc>
          <w:tcPr>
            <w:tcW w:w="3216" w:type="dxa"/>
            <w:noWrap w:val="0"/>
            <w:vAlign w:val="center"/>
          </w:tcPr>
          <w:p>
            <w:pPr>
              <w:widowControl/>
              <w:spacing w:line="300" w:lineRule="exact"/>
              <w:rPr>
                <w:rFonts w:ascii="仿宋_GB2312" w:hAnsi="黑体" w:eastAsia="仿宋_GB2312"/>
                <w:kern w:val="0"/>
                <w:szCs w:val="21"/>
              </w:rPr>
            </w:pPr>
            <w:r>
              <w:rPr>
                <w:rFonts w:hint="eastAsia" w:ascii="仿宋_GB2312" w:hAnsi="楷体" w:eastAsia="仿宋_GB2312"/>
              </w:rPr>
              <w:t>3.其他</w:t>
            </w:r>
          </w:p>
        </w:tc>
        <w:tc>
          <w:tcPr>
            <w:tcW w:w="5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default"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1"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7" w:hRule="atLeast"/>
          <w:jc w:val="center"/>
        </w:trPr>
        <w:tc>
          <w:tcPr>
            <w:tcW w:w="415" w:type="dxa"/>
            <w:vMerge w:val="continue"/>
            <w:noWrap w:val="0"/>
            <w:tcMar>
              <w:left w:w="108" w:type="dxa"/>
              <w:right w:w="108" w:type="dxa"/>
            </w:tcMar>
            <w:vAlign w:val="center"/>
          </w:tcPr>
          <w:p>
            <w:pPr>
              <w:rPr>
                <w:rFonts w:ascii="黑体" w:hAnsi="黑体" w:eastAsia="黑体"/>
                <w:szCs w:val="21"/>
              </w:rPr>
            </w:pPr>
          </w:p>
        </w:tc>
        <w:tc>
          <w:tcPr>
            <w:tcW w:w="4930" w:type="dxa"/>
            <w:gridSpan w:val="2"/>
            <w:noWrap w:val="0"/>
            <w:tcMar>
              <w:left w:w="108" w:type="dxa"/>
              <w:right w:w="108" w:type="dxa"/>
            </w:tcMar>
            <w:vAlign w:val="center"/>
          </w:tcPr>
          <w:p>
            <w:pPr>
              <w:widowControl/>
              <w:spacing w:line="300" w:lineRule="exact"/>
              <w:rPr>
                <w:rFonts w:ascii="黑体" w:hAnsi="黑体" w:eastAsia="黑体"/>
                <w:kern w:val="0"/>
                <w:szCs w:val="21"/>
              </w:rPr>
            </w:pPr>
            <w:r>
              <w:rPr>
                <w:rFonts w:hint="eastAsia" w:ascii="黑体" w:hAnsi="黑体" w:eastAsia="黑体"/>
                <w:kern w:val="0"/>
                <w:szCs w:val="21"/>
              </w:rPr>
              <w:t>（七）总计</w:t>
            </w:r>
          </w:p>
        </w:tc>
        <w:tc>
          <w:tcPr>
            <w:tcW w:w="5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1"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93" w:hRule="atLeast"/>
          <w:jc w:val="center"/>
        </w:trPr>
        <w:tc>
          <w:tcPr>
            <w:tcW w:w="5345" w:type="dxa"/>
            <w:gridSpan w:val="3"/>
            <w:noWrap w:val="0"/>
            <w:tcMar>
              <w:left w:w="108" w:type="dxa"/>
              <w:right w:w="108" w:type="dxa"/>
            </w:tcMar>
            <w:vAlign w:val="center"/>
          </w:tcPr>
          <w:p>
            <w:pPr>
              <w:widowControl/>
              <w:spacing w:line="300" w:lineRule="exact"/>
              <w:rPr>
                <w:rFonts w:ascii="黑体" w:hAnsi="黑体" w:eastAsia="黑体"/>
                <w:kern w:val="0"/>
                <w:szCs w:val="21"/>
              </w:rPr>
            </w:pPr>
            <w:r>
              <w:rPr>
                <w:rFonts w:hint="eastAsia" w:ascii="黑体" w:hAnsi="黑体" w:eastAsia="黑体"/>
                <w:kern w:val="0"/>
                <w:szCs w:val="21"/>
              </w:rPr>
              <w:t>四、结转下年度继续办理</w:t>
            </w:r>
          </w:p>
        </w:tc>
        <w:tc>
          <w:tcPr>
            <w:tcW w:w="5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9"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1" w:type="dxa"/>
            <w:gridSpan w:val="2"/>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05" w:type="dxa"/>
            <w:noWrap w:val="0"/>
            <w:tcMar>
              <w:left w:w="108" w:type="dxa"/>
              <w:right w:w="108" w:type="dxa"/>
            </w:tcMar>
            <w:vAlign w:val="center"/>
          </w:tcPr>
          <w:p>
            <w:pPr>
              <w:wordWrap w:val="0"/>
              <w:adjustRightInd/>
              <w:snapToGrid/>
              <w:spacing w:after="0" w:line="360" w:lineRule="atLeast"/>
              <w:jc w:val="center"/>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r>
    </w:tbl>
    <w:p>
      <w:pPr>
        <w:pStyle w:val="5"/>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宋体"/>
          <w:color w:val="000000"/>
          <w:sz w:val="32"/>
          <w:szCs w:val="32"/>
          <w:highlight w:val="none"/>
        </w:rPr>
      </w:pPr>
      <w:r>
        <w:rPr>
          <w:rFonts w:hint="eastAsia" w:ascii="黑体" w:hAnsi="黑体" w:eastAsia="黑体" w:cs="宋体"/>
          <w:color w:val="000000"/>
          <w:sz w:val="32"/>
          <w:szCs w:val="32"/>
          <w:highlight w:val="none"/>
        </w:rPr>
        <w:t>四、政府信息公开行政复议、行政诉讼情况</w:t>
      </w:r>
    </w:p>
    <w:tbl>
      <w:tblPr>
        <w:tblStyle w:val="6"/>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97" w:hRule="atLeast"/>
          <w:jc w:val="center"/>
        </w:trPr>
        <w:tc>
          <w:tcPr>
            <w:tcW w:w="3074"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r>
              <w:rPr>
                <w:rFonts w:ascii="黑体" w:hAnsi="黑体" w:eastAsia="黑体"/>
                <w:kern w:val="0"/>
                <w:sz w:val="20"/>
                <w:szCs w:val="20"/>
              </w:rPr>
              <w:t>行政复议</w:t>
            </w:r>
          </w:p>
        </w:tc>
        <w:tc>
          <w:tcPr>
            <w:tcW w:w="5997" w:type="dxa"/>
            <w:gridSpan w:val="10"/>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r>
              <w:rPr>
                <w:rFonts w:ascii="黑体" w:hAnsi="黑体" w:eastAsia="黑体"/>
                <w:kern w:val="0"/>
                <w:sz w:val="20"/>
                <w:szCs w:val="20"/>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11" w:hRule="atLeast"/>
          <w:jc w:val="center"/>
        </w:trPr>
        <w:tc>
          <w:tcPr>
            <w:tcW w:w="604"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ind w:left="-156" w:leftChars="-71" w:right="-178" w:rightChars="-81"/>
              <w:jc w:val="center"/>
              <w:rPr>
                <w:rFonts w:ascii="黑体" w:hAnsi="黑体" w:eastAsia="黑体"/>
                <w:kern w:val="0"/>
                <w:sz w:val="20"/>
                <w:szCs w:val="20"/>
              </w:rPr>
            </w:pPr>
            <w:r>
              <w:rPr>
                <w:rFonts w:ascii="黑体" w:hAnsi="黑体" w:eastAsia="黑体"/>
                <w:kern w:val="0"/>
                <w:sz w:val="20"/>
                <w:szCs w:val="20"/>
              </w:rPr>
              <w:t>结果</w:t>
            </w:r>
          </w:p>
          <w:p>
            <w:pPr>
              <w:widowControl/>
              <w:ind w:left="-156" w:leftChars="-71" w:right="-178" w:rightChars="-81"/>
              <w:jc w:val="center"/>
              <w:rPr>
                <w:rFonts w:ascii="黑体" w:hAnsi="黑体" w:eastAsia="黑体"/>
              </w:rPr>
            </w:pPr>
            <w:r>
              <w:rPr>
                <w:rFonts w:ascii="黑体" w:hAnsi="黑体" w:eastAsia="黑体"/>
                <w:kern w:val="0"/>
                <w:sz w:val="20"/>
                <w:szCs w:val="20"/>
              </w:rPr>
              <w:t>维持</w:t>
            </w:r>
          </w:p>
        </w:tc>
        <w:tc>
          <w:tcPr>
            <w:tcW w:w="604" w:type="dxa"/>
            <w:vMerge w:val="restart"/>
            <w:tcBorders>
              <w:top w:val="nil"/>
              <w:left w:val="nil"/>
              <w:bottom w:val="single" w:color="auto" w:sz="8" w:space="0"/>
              <w:right w:val="single" w:color="auto" w:sz="8" w:space="0"/>
            </w:tcBorders>
            <w:noWrap w:val="0"/>
            <w:tcMar>
              <w:left w:w="108" w:type="dxa"/>
              <w:right w:w="108" w:type="dxa"/>
            </w:tcMar>
            <w:vAlign w:val="center"/>
          </w:tcPr>
          <w:p>
            <w:pPr>
              <w:widowControl/>
              <w:ind w:left="-45" w:leftChars="-21" w:right="-139" w:rightChars="-63" w:hanging="1"/>
              <w:jc w:val="center"/>
              <w:rPr>
                <w:rFonts w:ascii="黑体" w:hAnsi="黑体" w:eastAsia="黑体"/>
              </w:rPr>
            </w:pPr>
            <w:r>
              <w:rPr>
                <w:rFonts w:ascii="黑体" w:hAnsi="黑体" w:eastAsia="黑体"/>
                <w:kern w:val="0"/>
                <w:sz w:val="20"/>
                <w:szCs w:val="20"/>
              </w:rPr>
              <w:t>结果纠正</w:t>
            </w:r>
          </w:p>
        </w:tc>
        <w:tc>
          <w:tcPr>
            <w:tcW w:w="604"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86" w:leftChars="-39" w:right="-101" w:rightChars="-46"/>
              <w:jc w:val="center"/>
              <w:rPr>
                <w:rFonts w:ascii="黑体" w:hAnsi="黑体" w:eastAsia="黑体"/>
              </w:rPr>
            </w:pPr>
            <w:r>
              <w:rPr>
                <w:rFonts w:ascii="黑体" w:hAnsi="黑体" w:eastAsia="黑体"/>
                <w:kern w:val="0"/>
                <w:sz w:val="20"/>
                <w:szCs w:val="20"/>
              </w:rPr>
              <w:t>其他结果</w:t>
            </w:r>
          </w:p>
        </w:tc>
        <w:tc>
          <w:tcPr>
            <w:tcW w:w="604"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123" w:leftChars="-56" w:right="-123" w:rightChars="-56"/>
              <w:jc w:val="center"/>
              <w:rPr>
                <w:rFonts w:ascii="黑体" w:hAnsi="黑体" w:eastAsia="黑体"/>
                <w:kern w:val="0"/>
                <w:sz w:val="20"/>
                <w:szCs w:val="20"/>
              </w:rPr>
            </w:pPr>
            <w:r>
              <w:rPr>
                <w:rFonts w:ascii="黑体" w:hAnsi="黑体" w:eastAsia="黑体"/>
                <w:kern w:val="0"/>
                <w:sz w:val="20"/>
                <w:szCs w:val="20"/>
              </w:rPr>
              <w:t>尚未</w:t>
            </w:r>
          </w:p>
          <w:p>
            <w:pPr>
              <w:widowControl/>
              <w:ind w:left="-123" w:leftChars="-56" w:right="-123" w:rightChars="-56"/>
              <w:jc w:val="center"/>
              <w:rPr>
                <w:rFonts w:ascii="黑体" w:hAnsi="黑体" w:eastAsia="黑体"/>
              </w:rPr>
            </w:pPr>
            <w:r>
              <w:rPr>
                <w:rFonts w:ascii="黑体" w:hAnsi="黑体" w:eastAsia="黑体"/>
                <w:kern w:val="0"/>
                <w:sz w:val="20"/>
                <w:szCs w:val="20"/>
              </w:rPr>
              <w:t>审结</w:t>
            </w:r>
          </w:p>
        </w:tc>
        <w:tc>
          <w:tcPr>
            <w:tcW w:w="658"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spacing w:line="320" w:lineRule="exact"/>
              <w:jc w:val="center"/>
              <w:rPr>
                <w:rFonts w:ascii="黑体" w:hAnsi="黑体" w:eastAsia="黑体"/>
                <w:kern w:val="0"/>
                <w:sz w:val="20"/>
                <w:szCs w:val="20"/>
              </w:rPr>
            </w:pPr>
            <w:r>
              <w:rPr>
                <w:rFonts w:ascii="黑体" w:hAnsi="黑体" w:eastAsia="黑体"/>
                <w:kern w:val="0"/>
                <w:sz w:val="20"/>
                <w:szCs w:val="20"/>
              </w:rPr>
              <w:t>总</w:t>
            </w:r>
          </w:p>
          <w:p>
            <w:pPr>
              <w:widowControl/>
              <w:spacing w:line="320" w:lineRule="exact"/>
              <w:jc w:val="center"/>
              <w:rPr>
                <w:rFonts w:ascii="黑体" w:hAnsi="黑体" w:eastAsia="黑体"/>
              </w:rPr>
            </w:pPr>
            <w:r>
              <w:rPr>
                <w:rFonts w:ascii="黑体" w:hAnsi="黑体" w:eastAsia="黑体"/>
                <w:kern w:val="0"/>
                <w:sz w:val="20"/>
                <w:szCs w:val="20"/>
              </w:rPr>
              <w:t>计</w:t>
            </w:r>
          </w:p>
        </w:tc>
        <w:tc>
          <w:tcPr>
            <w:tcW w:w="2970"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r>
              <w:rPr>
                <w:rFonts w:ascii="黑体" w:hAnsi="黑体" w:eastAsia="黑体"/>
                <w:kern w:val="0"/>
                <w:sz w:val="20"/>
                <w:szCs w:val="20"/>
              </w:rPr>
              <w:t>未经复议直接起诉</w:t>
            </w:r>
          </w:p>
        </w:tc>
        <w:tc>
          <w:tcPr>
            <w:tcW w:w="3027"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bookmarkStart w:id="9" w:name="_Hlk67039688"/>
            <w:r>
              <w:rPr>
                <w:rFonts w:ascii="黑体" w:hAnsi="黑体" w:eastAsia="黑体"/>
                <w:kern w:val="0"/>
                <w:sz w:val="20"/>
                <w:szCs w:val="20"/>
              </w:rPr>
              <w:t>复议后起诉</w:t>
            </w:r>
            <w:bookmarkEnd w:id="9"/>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6" w:hRule="atLeast"/>
          <w:jc w:val="center"/>
        </w:trPr>
        <w:tc>
          <w:tcPr>
            <w:tcW w:w="604"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ascii="黑体" w:hAnsi="黑体" w:eastAsia="黑体"/>
                <w:sz w:val="24"/>
              </w:rPr>
            </w:pPr>
          </w:p>
        </w:tc>
        <w:tc>
          <w:tcPr>
            <w:tcW w:w="604" w:type="dxa"/>
            <w:vMerge w:val="continue"/>
            <w:tcBorders>
              <w:top w:val="nil"/>
              <w:left w:val="nil"/>
              <w:bottom w:val="single" w:color="auto" w:sz="8" w:space="0"/>
              <w:right w:val="single" w:color="auto" w:sz="8" w:space="0"/>
            </w:tcBorders>
            <w:noWrap w:val="0"/>
            <w:tcMar>
              <w:left w:w="108" w:type="dxa"/>
              <w:right w:w="108" w:type="dxa"/>
            </w:tcMar>
            <w:vAlign w:val="center"/>
          </w:tcPr>
          <w:p>
            <w:pPr>
              <w:rPr>
                <w:rFonts w:ascii="黑体" w:hAnsi="黑体" w:eastAsia="黑体"/>
                <w:sz w:val="24"/>
              </w:rPr>
            </w:pPr>
          </w:p>
        </w:tc>
        <w:tc>
          <w:tcPr>
            <w:tcW w:w="604"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pPr>
              <w:rPr>
                <w:rFonts w:ascii="黑体" w:hAnsi="黑体" w:eastAsia="黑体"/>
                <w:sz w:val="24"/>
              </w:rPr>
            </w:pPr>
          </w:p>
        </w:tc>
        <w:tc>
          <w:tcPr>
            <w:tcW w:w="604"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pPr>
              <w:rPr>
                <w:rFonts w:ascii="黑体" w:hAnsi="黑体" w:eastAsia="黑体"/>
                <w:sz w:val="24"/>
              </w:rPr>
            </w:pPr>
          </w:p>
        </w:tc>
        <w:tc>
          <w:tcPr>
            <w:tcW w:w="658"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pPr>
              <w:rPr>
                <w:rFonts w:ascii="黑体" w:hAnsi="黑体" w:eastAsia="黑体"/>
                <w:sz w:val="24"/>
              </w:rPr>
            </w:pPr>
          </w:p>
        </w:tc>
        <w:tc>
          <w:tcPr>
            <w:tcW w:w="550" w:type="dxa"/>
            <w:tcBorders>
              <w:top w:val="nil"/>
              <w:left w:val="nil"/>
              <w:bottom w:val="single" w:color="auto" w:sz="8" w:space="0"/>
              <w:right w:val="single" w:color="auto" w:sz="8" w:space="0"/>
            </w:tcBorders>
            <w:noWrap w:val="0"/>
            <w:tcMar>
              <w:left w:w="108" w:type="dxa"/>
              <w:right w:w="108" w:type="dxa"/>
            </w:tcMar>
            <w:vAlign w:val="center"/>
          </w:tcPr>
          <w:p>
            <w:pPr>
              <w:widowControl/>
              <w:ind w:left="-110" w:leftChars="-50" w:right="-132" w:rightChars="-60"/>
              <w:jc w:val="center"/>
              <w:rPr>
                <w:rFonts w:ascii="黑体" w:hAnsi="黑体" w:eastAsia="黑体"/>
              </w:rPr>
            </w:pPr>
            <w:r>
              <w:rPr>
                <w:rFonts w:ascii="黑体" w:hAnsi="黑体" w:eastAsia="黑体"/>
                <w:kern w:val="0"/>
                <w:sz w:val="20"/>
                <w:szCs w:val="20"/>
              </w:rPr>
              <w:t>结果维持</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ind w:left="-90" w:leftChars="-41" w:right="-92" w:rightChars="-42"/>
              <w:jc w:val="center"/>
              <w:rPr>
                <w:rFonts w:ascii="黑体" w:hAnsi="黑体" w:eastAsia="黑体"/>
              </w:rPr>
            </w:pPr>
            <w:r>
              <w:rPr>
                <w:rFonts w:ascii="黑体" w:hAnsi="黑体" w:eastAsia="黑体"/>
                <w:kern w:val="0"/>
                <w:sz w:val="20"/>
                <w:szCs w:val="20"/>
              </w:rPr>
              <w:t>结果纠正</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132" w:leftChars="-60" w:right="-143" w:rightChars="-65"/>
              <w:jc w:val="center"/>
              <w:rPr>
                <w:rFonts w:ascii="黑体" w:hAnsi="黑体" w:eastAsia="黑体"/>
                <w:kern w:val="0"/>
                <w:sz w:val="20"/>
                <w:szCs w:val="20"/>
              </w:rPr>
            </w:pPr>
            <w:r>
              <w:rPr>
                <w:rFonts w:ascii="黑体" w:hAnsi="黑体" w:eastAsia="黑体"/>
                <w:kern w:val="0"/>
                <w:sz w:val="20"/>
                <w:szCs w:val="20"/>
              </w:rPr>
              <w:t>其他</w:t>
            </w:r>
          </w:p>
          <w:p>
            <w:pPr>
              <w:widowControl/>
              <w:ind w:left="-132" w:leftChars="-60" w:right="-143" w:rightChars="-65"/>
              <w:jc w:val="center"/>
              <w:rPr>
                <w:rFonts w:ascii="黑体" w:hAnsi="黑体" w:eastAsia="黑体"/>
              </w:rPr>
            </w:pPr>
            <w:r>
              <w:rPr>
                <w:rFonts w:ascii="黑体" w:hAnsi="黑体" w:eastAsia="黑体"/>
                <w:kern w:val="0"/>
                <w:sz w:val="20"/>
                <w:szCs w:val="20"/>
              </w:rPr>
              <w:t>结果</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172" w:leftChars="-78" w:right="-161" w:rightChars="-73"/>
              <w:jc w:val="center"/>
              <w:rPr>
                <w:rFonts w:ascii="黑体" w:hAnsi="黑体" w:eastAsia="黑体"/>
                <w:kern w:val="0"/>
                <w:sz w:val="20"/>
                <w:szCs w:val="20"/>
              </w:rPr>
            </w:pPr>
            <w:r>
              <w:rPr>
                <w:rFonts w:ascii="黑体" w:hAnsi="黑体" w:eastAsia="黑体"/>
                <w:kern w:val="0"/>
                <w:sz w:val="20"/>
                <w:szCs w:val="20"/>
              </w:rPr>
              <w:t>尚未</w:t>
            </w:r>
          </w:p>
          <w:p>
            <w:pPr>
              <w:widowControl/>
              <w:ind w:left="-172" w:leftChars="-78" w:right="-161" w:rightChars="-73"/>
              <w:jc w:val="center"/>
              <w:rPr>
                <w:rFonts w:ascii="黑体" w:hAnsi="黑体" w:eastAsia="黑体"/>
              </w:rPr>
            </w:pPr>
            <w:r>
              <w:rPr>
                <w:rFonts w:ascii="黑体" w:hAnsi="黑体" w:eastAsia="黑体"/>
                <w:kern w:val="0"/>
                <w:sz w:val="20"/>
                <w:szCs w:val="20"/>
              </w:rPr>
              <w:t>审结</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r>
              <w:rPr>
                <w:rFonts w:ascii="黑体" w:hAnsi="黑体" w:eastAsia="黑体"/>
                <w:kern w:val="0"/>
                <w:sz w:val="20"/>
                <w:szCs w:val="20"/>
              </w:rPr>
              <w:t>总计</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103" w:leftChars="-47" w:right="-81" w:rightChars="-37"/>
              <w:jc w:val="center"/>
              <w:rPr>
                <w:rFonts w:ascii="黑体" w:hAnsi="黑体" w:eastAsia="黑体"/>
              </w:rPr>
            </w:pPr>
            <w:r>
              <w:rPr>
                <w:rFonts w:ascii="黑体" w:hAnsi="黑体" w:eastAsia="黑体"/>
                <w:kern w:val="0"/>
                <w:sz w:val="20"/>
                <w:szCs w:val="20"/>
              </w:rPr>
              <w:t>结果维持</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143" w:leftChars="-65" w:right="-130" w:rightChars="-59"/>
              <w:jc w:val="center"/>
              <w:rPr>
                <w:rFonts w:ascii="黑体" w:hAnsi="黑体" w:eastAsia="黑体"/>
                <w:kern w:val="0"/>
                <w:sz w:val="20"/>
                <w:szCs w:val="20"/>
              </w:rPr>
            </w:pPr>
            <w:r>
              <w:rPr>
                <w:rFonts w:ascii="黑体" w:hAnsi="黑体" w:eastAsia="黑体"/>
                <w:kern w:val="0"/>
                <w:sz w:val="20"/>
                <w:szCs w:val="20"/>
              </w:rPr>
              <w:t>结果</w:t>
            </w:r>
          </w:p>
          <w:p>
            <w:pPr>
              <w:widowControl/>
              <w:ind w:left="-143" w:leftChars="-65" w:right="-130" w:rightChars="-59"/>
              <w:jc w:val="center"/>
              <w:rPr>
                <w:rFonts w:ascii="黑体" w:hAnsi="黑体" w:eastAsia="黑体"/>
              </w:rPr>
            </w:pPr>
            <w:r>
              <w:rPr>
                <w:rFonts w:ascii="黑体" w:hAnsi="黑体" w:eastAsia="黑体"/>
                <w:kern w:val="0"/>
                <w:sz w:val="20"/>
                <w:szCs w:val="20"/>
              </w:rPr>
              <w:t>纠正</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182" w:leftChars="-83" w:right="-141" w:rightChars="-64" w:hanging="1"/>
              <w:jc w:val="center"/>
              <w:rPr>
                <w:rFonts w:ascii="黑体" w:hAnsi="黑体" w:eastAsia="黑体"/>
                <w:kern w:val="0"/>
                <w:sz w:val="20"/>
                <w:szCs w:val="20"/>
              </w:rPr>
            </w:pPr>
            <w:r>
              <w:rPr>
                <w:rFonts w:ascii="黑体" w:hAnsi="黑体" w:eastAsia="黑体"/>
                <w:kern w:val="0"/>
                <w:sz w:val="20"/>
                <w:szCs w:val="20"/>
              </w:rPr>
              <w:t>其他</w:t>
            </w:r>
          </w:p>
          <w:p>
            <w:pPr>
              <w:widowControl/>
              <w:ind w:left="-182" w:leftChars="-83" w:right="-141" w:rightChars="-64" w:hanging="1"/>
              <w:jc w:val="center"/>
              <w:rPr>
                <w:rFonts w:ascii="黑体" w:hAnsi="黑体" w:eastAsia="黑体"/>
              </w:rPr>
            </w:pPr>
            <w:r>
              <w:rPr>
                <w:rFonts w:ascii="黑体" w:hAnsi="黑体" w:eastAsia="黑体"/>
                <w:kern w:val="0"/>
                <w:sz w:val="20"/>
                <w:szCs w:val="20"/>
              </w:rPr>
              <w:t>结果</w:t>
            </w:r>
          </w:p>
        </w:tc>
        <w:tc>
          <w:tcPr>
            <w:tcW w:w="606"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71" w:leftChars="-33" w:right="-110" w:rightChars="-50" w:hanging="2" w:hangingChars="1"/>
              <w:jc w:val="center"/>
              <w:rPr>
                <w:rFonts w:ascii="黑体" w:hAnsi="黑体" w:eastAsia="黑体"/>
              </w:rPr>
            </w:pPr>
            <w:r>
              <w:rPr>
                <w:rFonts w:ascii="黑体" w:hAnsi="黑体" w:eastAsia="黑体"/>
                <w:kern w:val="0"/>
                <w:sz w:val="20"/>
                <w:szCs w:val="20"/>
              </w:rPr>
              <w:t>尚未审结</w:t>
            </w:r>
          </w:p>
        </w:tc>
        <w:tc>
          <w:tcPr>
            <w:tcW w:w="606"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r>
              <w:rPr>
                <w:rFonts w:ascii="黑体" w:hAnsi="黑体" w:eastAsia="黑体"/>
                <w:kern w:val="0"/>
                <w:sz w:val="20"/>
                <w:szCs w:val="20"/>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宋体"/>
                <w:lang w:val="en-US" w:eastAsia="zh-CN"/>
              </w:rPr>
            </w:pPr>
            <w:r>
              <w:rPr>
                <w:rFonts w:hint="eastAsia"/>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宋体"/>
                <w:lang w:val="en-US" w:eastAsia="zh-CN"/>
              </w:rPr>
            </w:pPr>
            <w:r>
              <w:rPr>
                <w:rFonts w:hint="eastAsia"/>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宋体"/>
                <w:lang w:val="en-US" w:eastAsia="zh-CN"/>
              </w:rPr>
            </w:pPr>
            <w:r>
              <w:rPr>
                <w:rFonts w:hint="eastAsia"/>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宋体"/>
                <w:lang w:val="en-US" w:eastAsia="zh-CN"/>
              </w:rPr>
            </w:pPr>
            <w:r>
              <w:rPr>
                <w:rFonts w:hint="eastAsia"/>
                <w:lang w:val="en-US" w:eastAsia="zh-CN"/>
              </w:rPr>
              <w:t>0</w:t>
            </w:r>
          </w:p>
        </w:tc>
        <w:tc>
          <w:tcPr>
            <w:tcW w:w="658"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宋体"/>
                <w:lang w:val="en-US" w:eastAsia="zh-CN"/>
              </w:rPr>
            </w:pPr>
            <w:r>
              <w:rPr>
                <w:rFonts w:hint="eastAsia"/>
                <w:lang w:val="en-US" w:eastAsia="zh-CN"/>
              </w:rPr>
              <w:t>0</w:t>
            </w:r>
          </w:p>
        </w:tc>
        <w:tc>
          <w:tcPr>
            <w:tcW w:w="550"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宋体"/>
                <w:lang w:val="en-US" w:eastAsia="zh-CN"/>
              </w:rPr>
            </w:pPr>
            <w:r>
              <w:rPr>
                <w:rFonts w:hint="eastAsia"/>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宋体"/>
                <w:lang w:val="en-US" w:eastAsia="zh-CN"/>
              </w:rPr>
            </w:pPr>
            <w:r>
              <w:rPr>
                <w:rFonts w:hint="eastAsia"/>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宋体"/>
                <w:lang w:val="en-US" w:eastAsia="zh-CN"/>
              </w:rPr>
            </w:pPr>
            <w:r>
              <w:rPr>
                <w:rFonts w:hint="eastAsia"/>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宋体"/>
                <w:lang w:val="en-US" w:eastAsia="zh-CN"/>
              </w:rPr>
            </w:pPr>
            <w:r>
              <w:rPr>
                <w:rFonts w:hint="eastAsia"/>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宋体"/>
                <w:lang w:val="en-US" w:eastAsia="zh-CN"/>
              </w:rPr>
            </w:pPr>
            <w:r>
              <w:rPr>
                <w:rFonts w:hint="eastAsia"/>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rPr>
                <w:rFonts w:hint="eastAsia" w:ascii="Times New Roman" w:hAnsi="Times New Roman" w:eastAsia="宋体"/>
                <w:lang w:val="en-US" w:eastAsia="zh-CN"/>
              </w:rPr>
            </w:pPr>
            <w:r>
              <w:rPr>
                <w:rFonts w:hint="eastAsia"/>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宋体"/>
                <w:lang w:val="en-US" w:eastAsia="zh-CN"/>
              </w:rPr>
            </w:pPr>
            <w:r>
              <w:rPr>
                <w:rFonts w:hint="eastAsia"/>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宋体"/>
                <w:lang w:val="en-US" w:eastAsia="zh-CN"/>
              </w:rPr>
            </w:pPr>
            <w:r>
              <w:rPr>
                <w:rFonts w:hint="eastAsia"/>
                <w:lang w:val="en-US" w:eastAsia="zh-CN"/>
              </w:rPr>
              <w:t>0</w:t>
            </w:r>
          </w:p>
        </w:tc>
        <w:tc>
          <w:tcPr>
            <w:tcW w:w="606"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宋体"/>
                <w:lang w:val="en-US" w:eastAsia="zh-CN"/>
              </w:rPr>
            </w:pPr>
            <w:r>
              <w:rPr>
                <w:rFonts w:hint="eastAsia"/>
                <w:lang w:val="en-US" w:eastAsia="zh-CN"/>
              </w:rPr>
              <w:t>0</w:t>
            </w:r>
          </w:p>
        </w:tc>
        <w:tc>
          <w:tcPr>
            <w:tcW w:w="606"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宋体"/>
                <w:lang w:val="en-US" w:eastAsia="zh-CN"/>
              </w:rPr>
            </w:pPr>
            <w:r>
              <w:rPr>
                <w:rFonts w:hint="eastAsia"/>
                <w:lang w:val="en-US" w:eastAsia="zh-CN"/>
              </w:rPr>
              <w:t>0</w:t>
            </w:r>
          </w:p>
        </w:tc>
      </w:tr>
    </w:tbl>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40" w:firstLineChars="200"/>
        <w:jc w:val="both"/>
        <w:textAlignment w:val="auto"/>
        <w:rPr>
          <w:rFonts w:hint="eastAsia" w:ascii="仿宋_GB2312" w:hAnsi="宋体" w:eastAsia="仿宋_GB2312" w:cs="宋体"/>
          <w:color w:val="000000"/>
          <w:sz w:val="32"/>
          <w:szCs w:val="32"/>
          <w:lang w:val="en-US" w:eastAsia="zh-CN"/>
        </w:rPr>
      </w:pPr>
      <w:r>
        <w:rPr>
          <w:rFonts w:hint="eastAsia" w:ascii="黑体" w:hAnsi="黑体" w:eastAsia="黑体" w:cs="黑体"/>
          <w:b w:val="0"/>
          <w:bCs/>
          <w:i w:val="0"/>
          <w:caps w:val="0"/>
          <w:color w:val="333333"/>
          <w:spacing w:val="0"/>
          <w:kern w:val="0"/>
          <w:sz w:val="32"/>
          <w:szCs w:val="32"/>
          <w:shd w:val="clear" w:color="auto" w:fill="FFFFFF"/>
          <w:lang w:val="en-US" w:eastAsia="zh-CN" w:bidi="ar"/>
        </w:rPr>
        <w:t>五、存在的主要问题及改进情况</w:t>
      </w:r>
    </w:p>
    <w:p>
      <w:pPr>
        <w:shd w:val="clear" w:color="auto" w:fill="FFFFFF"/>
        <w:adjustRightInd/>
        <w:snapToGrid/>
        <w:spacing w:after="0" w:line="560" w:lineRule="exact"/>
        <w:ind w:firstLine="640" w:firstLineChars="200"/>
        <w:jc w:val="both"/>
        <w:rPr>
          <w:rFonts w:ascii="仿宋_GB2312" w:hAnsi="宋体" w:eastAsia="仿宋_GB2312" w:cs="宋体"/>
          <w:color w:val="000000"/>
          <w:sz w:val="32"/>
          <w:szCs w:val="32"/>
        </w:rPr>
      </w:pPr>
      <w:r>
        <w:rPr>
          <w:rFonts w:hint="eastAsia" w:ascii="仿宋_GB2312" w:hAnsi="宋体" w:eastAsia="仿宋_GB2312" w:cs="宋体"/>
          <w:color w:val="000000"/>
          <w:sz w:val="32"/>
          <w:szCs w:val="32"/>
          <w:lang w:val="en-US" w:eastAsia="zh-CN"/>
        </w:rPr>
        <w:t>在政府信息公开工作上面，</w:t>
      </w:r>
      <w:r>
        <w:rPr>
          <w:rFonts w:hint="eastAsia" w:ascii="仿宋_GB2312" w:hAnsi="宋体" w:eastAsia="仿宋_GB2312" w:cs="宋体"/>
          <w:color w:val="000000"/>
          <w:sz w:val="32"/>
          <w:szCs w:val="32"/>
        </w:rPr>
        <w:t>柴胡店镇</w:t>
      </w:r>
      <w:r>
        <w:rPr>
          <w:rFonts w:hint="eastAsia" w:ascii="仿宋_GB2312" w:hAnsi="宋体" w:eastAsia="仿宋_GB2312" w:cs="宋体"/>
          <w:color w:val="000000"/>
          <w:sz w:val="32"/>
          <w:szCs w:val="32"/>
          <w:lang w:val="en-US" w:eastAsia="zh-CN"/>
        </w:rPr>
        <w:t>积极创新形式，不定时举办政务公开活动，但离上级要求和群众期盼还有一定差距。一是对政府信息公开的重视性认识不足，贯彻落实政务公开工作还不到位，有的停留在口头上和文字层面上，公开的质量、水平、范围、程度与上级要求还存在着一定的差距。</w:t>
      </w:r>
      <w:r>
        <w:rPr>
          <w:rFonts w:hint="eastAsia" w:ascii="仿宋_GB2312" w:hAnsi="宋体" w:eastAsia="仿宋_GB2312" w:cs="宋体"/>
          <w:color w:val="000000"/>
          <w:sz w:val="32"/>
          <w:szCs w:val="32"/>
        </w:rPr>
        <w:t>二是</w:t>
      </w:r>
      <w:r>
        <w:rPr>
          <w:rFonts w:hint="eastAsia" w:ascii="仿宋_GB2312" w:hAnsi="宋体" w:eastAsia="仿宋_GB2312" w:cs="宋体"/>
          <w:color w:val="000000"/>
          <w:sz w:val="32"/>
          <w:szCs w:val="32"/>
          <w:lang w:val="en-US" w:eastAsia="zh-CN"/>
        </w:rPr>
        <w:t>政务公开工作人员对业务工作还不熟悉，对专业性较强的政策解读形式较为单一，政府信息主动公开的范围和内容仍需深化。</w:t>
      </w:r>
    </w:p>
    <w:p>
      <w:pPr>
        <w:shd w:val="clear" w:color="auto" w:fill="FFFFFF"/>
        <w:adjustRightInd/>
        <w:snapToGrid/>
        <w:spacing w:after="0" w:line="560" w:lineRule="exact"/>
        <w:ind w:firstLine="640" w:firstLineChars="200"/>
        <w:jc w:val="both"/>
        <w:rPr>
          <w:rFonts w:ascii="仿宋_GB2312" w:hAnsi="宋体" w:eastAsia="仿宋_GB2312" w:cs="宋体"/>
          <w:color w:val="000000"/>
          <w:sz w:val="32"/>
          <w:szCs w:val="32"/>
        </w:rPr>
      </w:pPr>
      <w:r>
        <w:rPr>
          <w:rFonts w:hint="eastAsia" w:ascii="仿宋_GB2312" w:hAnsi="宋体" w:eastAsia="仿宋_GB2312" w:cs="宋体"/>
          <w:color w:val="000000"/>
          <w:sz w:val="32"/>
          <w:szCs w:val="32"/>
        </w:rPr>
        <w:t>针对以上问题，2023年柴胡店镇将着重在以下几方面进行改进：</w:t>
      </w:r>
    </w:p>
    <w:p>
      <w:pPr>
        <w:shd w:val="clear" w:color="auto" w:fill="FFFFFF"/>
        <w:adjustRightInd/>
        <w:snapToGrid/>
        <w:spacing w:after="0" w:line="560" w:lineRule="exact"/>
        <w:ind w:firstLine="640" w:firstLineChars="200"/>
        <w:jc w:val="both"/>
        <w:rPr>
          <w:rFonts w:hint="eastAsia" w:ascii="仿宋_GB2312" w:hAnsi="宋体" w:eastAsia="仿宋_GB2312" w:cs="宋体"/>
          <w:color w:val="000000"/>
          <w:sz w:val="32"/>
          <w:szCs w:val="32"/>
        </w:rPr>
      </w:pPr>
      <w:r>
        <w:rPr>
          <w:rFonts w:hint="eastAsia" w:ascii="仿宋_GB2312" w:hAnsi="宋体" w:eastAsia="仿宋_GB2312" w:cs="宋体"/>
          <w:color w:val="000000"/>
          <w:sz w:val="32"/>
          <w:szCs w:val="32"/>
        </w:rPr>
        <w:t>一是强化工作责任。强化政府信息公开主体责任，健全完善信息公开制度，完善政务公开工作程序以及监督保障等工作规范和措施，强化政府信息公开监督检查、工作考核，继续将政府信息公开工作纳入绩效考核范畴，细化制定考核细则，促进全镇政府信息公开工作平衡发展。</w:t>
      </w:r>
    </w:p>
    <w:p>
      <w:pPr>
        <w:shd w:val="clear" w:color="auto" w:fill="FFFFFF"/>
        <w:adjustRightInd/>
        <w:snapToGrid/>
        <w:spacing w:after="0" w:line="560" w:lineRule="exact"/>
        <w:ind w:firstLine="640" w:firstLineChars="200"/>
        <w:jc w:val="both"/>
        <w:rPr>
          <w:rFonts w:hint="eastAsia" w:ascii="仿宋_GB2312" w:hAnsi="宋体" w:eastAsia="仿宋_GB2312" w:cs="宋体"/>
          <w:color w:val="000000"/>
          <w:sz w:val="32"/>
          <w:szCs w:val="32"/>
        </w:rPr>
      </w:pPr>
      <w:r>
        <w:rPr>
          <w:rFonts w:hint="eastAsia" w:ascii="仿宋_GB2312" w:hAnsi="宋体" w:eastAsia="仿宋_GB2312" w:cs="宋体"/>
          <w:color w:val="000000"/>
          <w:sz w:val="32"/>
          <w:szCs w:val="32"/>
        </w:rPr>
        <w:t>二是</w:t>
      </w:r>
      <w:r>
        <w:rPr>
          <w:rFonts w:hint="eastAsia" w:ascii="仿宋_GB2312" w:hAnsi="宋体" w:eastAsia="仿宋_GB2312" w:cs="宋体"/>
          <w:color w:val="000000"/>
          <w:sz w:val="32"/>
          <w:szCs w:val="32"/>
          <w:lang w:val="en-US" w:eastAsia="zh-CN"/>
        </w:rPr>
        <w:t>提升</w:t>
      </w:r>
      <w:r>
        <w:rPr>
          <w:rFonts w:hint="eastAsia" w:ascii="仿宋_GB2312" w:hAnsi="宋体" w:eastAsia="仿宋_GB2312" w:cs="宋体"/>
          <w:color w:val="000000"/>
          <w:sz w:val="32"/>
          <w:szCs w:val="32"/>
        </w:rPr>
        <w:t>政务公开的标准化规范化程度。拓展主动公开信息内容，深化政策解读制度落实，</w:t>
      </w:r>
      <w:r>
        <w:rPr>
          <w:rFonts w:hint="eastAsia" w:ascii="仿宋_GB2312" w:hAnsi="宋体" w:eastAsia="仿宋_GB2312" w:cs="宋体"/>
          <w:color w:val="000000"/>
          <w:sz w:val="32"/>
          <w:szCs w:val="32"/>
          <w:lang w:val="en-US" w:eastAsia="zh-CN"/>
        </w:rPr>
        <w:t>提升</w:t>
      </w:r>
      <w:r>
        <w:rPr>
          <w:rFonts w:hint="eastAsia" w:ascii="仿宋_GB2312" w:hAnsi="宋体" w:eastAsia="仿宋_GB2312" w:cs="宋体"/>
          <w:color w:val="000000"/>
          <w:sz w:val="32"/>
          <w:szCs w:val="32"/>
        </w:rPr>
        <w:t>不断提升主动公开政府信息的质量和数量;不断拓展政府信息公开层面等社会公众关注度高的信息公开。</w:t>
      </w:r>
    </w:p>
    <w:p>
      <w:pPr>
        <w:shd w:val="clear" w:color="auto" w:fill="FFFFFF"/>
        <w:adjustRightInd/>
        <w:snapToGrid/>
        <w:spacing w:after="0" w:line="560" w:lineRule="exact"/>
        <w:ind w:firstLine="640" w:firstLineChars="200"/>
        <w:jc w:val="both"/>
        <w:rPr>
          <w:rFonts w:hint="default" w:ascii="仿宋_GB2312" w:hAnsi="宋体" w:eastAsia="仿宋_GB2312" w:cs="宋体"/>
          <w:color w:val="000000"/>
          <w:sz w:val="32"/>
          <w:szCs w:val="32"/>
          <w:lang w:val="en-US" w:eastAsia="zh-CN"/>
        </w:rPr>
      </w:pPr>
      <w:r>
        <w:rPr>
          <w:rFonts w:hint="eastAsia" w:ascii="仿宋_GB2312" w:hAnsi="宋体" w:eastAsia="仿宋_GB2312" w:cs="宋体"/>
          <w:color w:val="000000"/>
          <w:sz w:val="32"/>
          <w:szCs w:val="32"/>
          <w:lang w:val="en-US" w:eastAsia="zh-CN"/>
        </w:rPr>
        <w:t>三是强化学习。积极参加滕州市各项信息公开业务培训，尤其是信息保障标准、依申请公开办理、政策解读等。积极开展本单位政务公开工作业务培训，“走出去”和“请进来”相结合。</w:t>
      </w:r>
    </w:p>
    <w:p>
      <w:pPr>
        <w:shd w:val="clear" w:color="auto" w:fill="FFFFFF"/>
        <w:adjustRightInd/>
        <w:snapToGrid/>
        <w:spacing w:after="0" w:line="560" w:lineRule="exact"/>
        <w:ind w:firstLine="640" w:firstLineChars="200"/>
        <w:jc w:val="both"/>
        <w:rPr>
          <w:rFonts w:ascii="宋体" w:hAnsi="宋体" w:eastAsia="宋体" w:cs="宋体"/>
          <w:color w:val="000000"/>
          <w:sz w:val="32"/>
          <w:szCs w:val="32"/>
          <w:highlight w:val="none"/>
        </w:rPr>
      </w:pPr>
      <w:r>
        <w:rPr>
          <w:rFonts w:hint="eastAsia" w:ascii="黑体" w:hAnsi="黑体" w:eastAsia="黑体" w:cs="宋体"/>
          <w:color w:val="000000"/>
          <w:sz w:val="32"/>
          <w:szCs w:val="32"/>
          <w:highlight w:val="none"/>
        </w:rPr>
        <w:t>六、其他需要报告的事项</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Arial" w:eastAsia="仿宋_GB2312" w:cs="Arial"/>
          <w:color w:val="000000"/>
          <w:sz w:val="32"/>
          <w:szCs w:val="32"/>
        </w:rPr>
      </w:pPr>
      <w:r>
        <w:rPr>
          <w:rFonts w:hint="eastAsia" w:ascii="仿宋_GB2312" w:hAnsi="Arial" w:eastAsia="仿宋_GB2312" w:cs="Arial"/>
          <w:color w:val="000000"/>
          <w:sz w:val="32"/>
          <w:szCs w:val="32"/>
        </w:rPr>
        <w:t>1、202</w:t>
      </w:r>
      <w:r>
        <w:rPr>
          <w:rFonts w:hint="eastAsia" w:ascii="仿宋_GB2312" w:hAnsi="Arial" w:eastAsia="仿宋_GB2312" w:cs="Arial"/>
          <w:color w:val="000000"/>
          <w:sz w:val="32"/>
          <w:szCs w:val="32"/>
          <w:lang w:val="en-US" w:eastAsia="zh-CN"/>
        </w:rPr>
        <w:t>3</w:t>
      </w:r>
      <w:r>
        <w:rPr>
          <w:rFonts w:hint="eastAsia" w:ascii="仿宋_GB2312" w:hAnsi="Arial" w:eastAsia="仿宋_GB2312" w:cs="Arial"/>
          <w:color w:val="000000"/>
          <w:sz w:val="32"/>
          <w:szCs w:val="32"/>
        </w:rPr>
        <w:t>年度未收取政府信息公开信息处理费。</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ascii="仿宋_GB2312" w:hAnsi="Arial" w:eastAsia="仿宋_GB2312" w:cs="Arial"/>
          <w:color w:val="000000"/>
          <w:sz w:val="32"/>
          <w:szCs w:val="32"/>
        </w:rPr>
      </w:pPr>
      <w:r>
        <w:rPr>
          <w:rFonts w:hint="eastAsia" w:ascii="仿宋_GB2312" w:hAnsi="Arial" w:eastAsia="仿宋_GB2312" w:cs="Arial"/>
          <w:color w:val="000000"/>
          <w:sz w:val="32"/>
          <w:szCs w:val="32"/>
        </w:rPr>
        <w:t>2、202</w:t>
      </w:r>
      <w:r>
        <w:rPr>
          <w:rFonts w:hint="eastAsia" w:ascii="仿宋_GB2312" w:hAnsi="Arial" w:eastAsia="仿宋_GB2312" w:cs="Arial"/>
          <w:color w:val="000000"/>
          <w:sz w:val="32"/>
          <w:szCs w:val="32"/>
          <w:lang w:val="en-US" w:eastAsia="zh-CN"/>
        </w:rPr>
        <w:t>3</w:t>
      </w:r>
      <w:r>
        <w:rPr>
          <w:rFonts w:hint="eastAsia" w:ascii="仿宋_GB2312" w:hAnsi="Arial" w:eastAsia="仿宋_GB2312" w:cs="Arial"/>
          <w:color w:val="000000"/>
          <w:sz w:val="32"/>
          <w:szCs w:val="32"/>
        </w:rPr>
        <w:t>年</w:t>
      </w:r>
      <w:r>
        <w:rPr>
          <w:rFonts w:hint="eastAsia" w:ascii="仿宋_GB2312" w:hAnsi="Arial" w:eastAsia="仿宋_GB2312" w:cs="Arial"/>
          <w:color w:val="000000"/>
          <w:sz w:val="32"/>
          <w:szCs w:val="32"/>
          <w:lang w:eastAsia="zh-CN"/>
        </w:rPr>
        <w:t>，</w:t>
      </w:r>
      <w:r>
        <w:rPr>
          <w:rFonts w:hint="eastAsia" w:ascii="仿宋_GB2312" w:hAnsi="Arial" w:eastAsia="仿宋_GB2312" w:cs="Arial"/>
          <w:color w:val="000000"/>
          <w:sz w:val="32"/>
          <w:szCs w:val="32"/>
        </w:rPr>
        <w:t>柴胡店镇扎</w:t>
      </w:r>
      <w:r>
        <w:rPr>
          <w:rFonts w:hint="eastAsia" w:ascii="仿宋_GB2312" w:hAnsi="Arial" w:eastAsia="仿宋_GB2312" w:cs="Arial"/>
          <w:color w:val="000000"/>
          <w:sz w:val="32"/>
          <w:szCs w:val="32"/>
          <w:lang w:eastAsia="zh-CN"/>
        </w:rPr>
        <w:t>严格按照上级年度政务公开工作要点，扎</w:t>
      </w:r>
      <w:r>
        <w:rPr>
          <w:rFonts w:hint="eastAsia" w:ascii="仿宋_GB2312" w:hAnsi="Arial" w:eastAsia="仿宋_GB2312" w:cs="Arial"/>
          <w:color w:val="000000"/>
          <w:sz w:val="32"/>
          <w:szCs w:val="32"/>
        </w:rPr>
        <w:t>实做好平台建设，切实推进政务公开制度化规范化，制定了政务公开工作年度计划，定期进行跟踪问效，各项任务落细落实</w:t>
      </w:r>
      <w:r>
        <w:rPr>
          <w:rFonts w:hint="eastAsia" w:ascii="仿宋_GB2312" w:hAnsi="Arial" w:eastAsia="仿宋_GB2312" w:cs="Arial"/>
          <w:color w:val="000000"/>
          <w:sz w:val="32"/>
          <w:szCs w:val="32"/>
          <w:lang w:eastAsia="zh-CN"/>
        </w:rPr>
        <w:t>，确保政务公开工作提质增效</w:t>
      </w:r>
      <w:r>
        <w:rPr>
          <w:rFonts w:hint="eastAsia" w:ascii="仿宋_GB2312" w:hAnsi="Arial" w:eastAsia="仿宋_GB2312" w:cs="Arial"/>
          <w:color w:val="000000"/>
          <w:sz w:val="32"/>
          <w:szCs w:val="32"/>
        </w:rPr>
        <w:t>。</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ascii="仿宋_GB2312" w:hAnsi="Arial" w:eastAsia="仿宋_GB2312" w:cs="Arial"/>
          <w:color w:val="000000"/>
          <w:sz w:val="32"/>
          <w:szCs w:val="32"/>
        </w:rPr>
      </w:pPr>
      <w:r>
        <w:rPr>
          <w:rFonts w:hint="eastAsia" w:ascii="仿宋_GB2312" w:hAnsi="Arial" w:eastAsia="仿宋_GB2312" w:cs="Arial"/>
          <w:color w:val="000000"/>
          <w:sz w:val="32"/>
          <w:szCs w:val="32"/>
        </w:rPr>
        <w:t>3、202</w:t>
      </w:r>
      <w:r>
        <w:rPr>
          <w:rFonts w:hint="eastAsia" w:ascii="仿宋_GB2312" w:hAnsi="Arial" w:eastAsia="仿宋_GB2312" w:cs="Arial"/>
          <w:color w:val="000000"/>
          <w:sz w:val="32"/>
          <w:szCs w:val="32"/>
          <w:lang w:val="en-US" w:eastAsia="zh-CN"/>
        </w:rPr>
        <w:t>3</w:t>
      </w:r>
      <w:r>
        <w:rPr>
          <w:rFonts w:hint="eastAsia" w:ascii="仿宋_GB2312" w:hAnsi="Arial" w:eastAsia="仿宋_GB2312" w:cs="Arial"/>
          <w:color w:val="000000"/>
          <w:sz w:val="32"/>
          <w:szCs w:val="32"/>
        </w:rPr>
        <w:t>年度柴胡店镇未办理人大建议和政协提案。</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Arial" w:eastAsia="仿宋_GB2312" w:cs="Arial"/>
          <w:color w:val="000000"/>
          <w:sz w:val="32"/>
          <w:szCs w:val="32"/>
        </w:rPr>
      </w:pPr>
      <w:r>
        <w:rPr>
          <w:rFonts w:hint="eastAsia" w:ascii="仿宋_GB2312" w:hAnsi="Arial" w:eastAsia="仿宋_GB2312" w:cs="Arial"/>
          <w:color w:val="000000"/>
          <w:sz w:val="32"/>
          <w:szCs w:val="32"/>
        </w:rPr>
        <w:t>4、202</w:t>
      </w:r>
      <w:r>
        <w:rPr>
          <w:rFonts w:hint="eastAsia" w:ascii="仿宋_GB2312" w:hAnsi="Arial" w:eastAsia="仿宋_GB2312" w:cs="Arial"/>
          <w:color w:val="000000"/>
          <w:sz w:val="32"/>
          <w:szCs w:val="32"/>
          <w:lang w:val="en-US" w:eastAsia="zh-CN"/>
        </w:rPr>
        <w:t>3</w:t>
      </w:r>
      <w:r>
        <w:rPr>
          <w:rFonts w:hint="eastAsia" w:ascii="仿宋_GB2312" w:hAnsi="Arial" w:eastAsia="仿宋_GB2312" w:cs="Arial"/>
          <w:color w:val="000000"/>
          <w:sz w:val="32"/>
          <w:szCs w:val="32"/>
        </w:rPr>
        <w:t>年度柴胡店镇</w:t>
      </w:r>
      <w:r>
        <w:rPr>
          <w:rFonts w:hint="eastAsia" w:ascii="仿宋_GB2312" w:hAnsi="Arial" w:eastAsia="仿宋_GB2312" w:cs="Arial"/>
          <w:color w:val="000000"/>
          <w:sz w:val="32"/>
          <w:szCs w:val="32"/>
          <w:lang w:eastAsia="zh-CN"/>
        </w:rPr>
        <w:t>于</w:t>
      </w:r>
      <w:r>
        <w:rPr>
          <w:rFonts w:hint="eastAsia" w:ascii="仿宋_GB2312" w:hAnsi="Arial" w:eastAsia="仿宋_GB2312" w:cs="Arial"/>
          <w:color w:val="000000"/>
          <w:sz w:val="32"/>
          <w:szCs w:val="32"/>
          <w:lang w:val="en-US" w:eastAsia="zh-CN"/>
        </w:rPr>
        <w:t>6月29日在便民服务大厅和</w:t>
      </w:r>
      <w:r>
        <w:rPr>
          <w:rFonts w:hint="eastAsia" w:ascii="仿宋_GB2312" w:hAnsi="Arial" w:eastAsia="仿宋_GB2312" w:cs="Arial"/>
          <w:color w:val="000000"/>
          <w:sz w:val="32"/>
          <w:szCs w:val="32"/>
        </w:rPr>
        <w:t>开展了政府开放日活动</w:t>
      </w:r>
      <w:r>
        <w:rPr>
          <w:rFonts w:hint="eastAsia" w:ascii="仿宋_GB2312" w:hAnsi="Arial" w:eastAsia="仿宋_GB2312" w:cs="Arial"/>
          <w:color w:val="000000"/>
          <w:sz w:val="32"/>
          <w:szCs w:val="32"/>
          <w:lang w:eastAsia="zh-CN"/>
        </w:rPr>
        <w:t>，</w:t>
      </w:r>
      <w:r>
        <w:rPr>
          <w:rFonts w:hint="default" w:ascii="仿宋_GB2312" w:hAnsi="Arial" w:eastAsia="仿宋_GB2312" w:cs="Arial"/>
          <w:color w:val="000000"/>
          <w:sz w:val="32"/>
          <w:szCs w:val="32"/>
          <w:lang w:val="en-US" w:eastAsia="zh-CN"/>
        </w:rPr>
        <w:t>通过群众反馈、自我查找的方式，不断“找不足、补短板、强弱项”，推动政务服务水平高质量提升</w:t>
      </w:r>
      <w:r>
        <w:rPr>
          <w:rFonts w:hint="eastAsia" w:ascii="仿宋_GB2312" w:hAnsi="Arial" w:eastAsia="仿宋_GB2312" w:cs="Arial"/>
          <w:color w:val="000000"/>
          <w:sz w:val="32"/>
          <w:szCs w:val="32"/>
          <w:lang w:val="en-US" w:eastAsia="zh-CN"/>
        </w:rPr>
        <w:t>。</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ascii="仿宋_GB2312" w:hAnsi="Arial" w:eastAsia="仿宋_GB2312" w:cs="Arial"/>
          <w:color w:val="000000"/>
          <w:sz w:val="32"/>
          <w:szCs w:val="32"/>
        </w:rPr>
      </w:pPr>
      <w:r>
        <w:rPr>
          <w:rFonts w:hint="eastAsia" w:ascii="仿宋_GB2312" w:hAnsi="Arial" w:eastAsia="仿宋_GB2312" w:cs="Arial"/>
          <w:color w:val="000000"/>
          <w:sz w:val="32"/>
          <w:szCs w:val="32"/>
        </w:rPr>
        <w:t>5、本年度政府信息公开年报中的数据真实可查。</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ascii="仿宋_GB2312" w:hAnsi="Arial" w:eastAsia="仿宋_GB2312" w:cs="Arial"/>
          <w:color w:val="000000"/>
          <w:sz w:val="32"/>
          <w:szCs w:val="32"/>
        </w:rPr>
      </w:pPr>
      <w:r>
        <w:rPr>
          <w:rFonts w:hint="eastAsia" w:ascii="仿宋_GB2312" w:hAnsi="Arial" w:eastAsia="仿宋_GB2312" w:cs="Arial"/>
          <w:color w:val="000000"/>
          <w:sz w:val="32"/>
          <w:szCs w:val="32"/>
        </w:rPr>
        <w:t>6、无需要报告的其他事项。</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Arial" w:eastAsia="仿宋_GB2312" w:cs="Arial"/>
          <w:color w:val="000000"/>
          <w:sz w:val="32"/>
          <w:szCs w:val="32"/>
        </w:rPr>
      </w:pPr>
      <w:r>
        <w:rPr>
          <w:rFonts w:hint="eastAsia" w:ascii="仿宋_GB2312" w:hAnsi="Arial" w:eastAsia="仿宋_GB2312" w:cs="Arial"/>
          <w:color w:val="000000"/>
          <w:sz w:val="32"/>
          <w:szCs w:val="32"/>
        </w:rPr>
        <w:t>7、无其他有关文件专门要求通过政府信息公开年度报告予以报告的事项。</w:t>
      </w:r>
    </w:p>
    <w:p>
      <w:pPr>
        <w:keepNext w:val="0"/>
        <w:keepLines w:val="0"/>
        <w:pageBreakBefore w:val="0"/>
        <w:widowControl/>
        <w:suppressLineNumbers w:val="0"/>
        <w:kinsoku/>
        <w:wordWrap/>
        <w:overflowPunct/>
        <w:topLinePunct w:val="0"/>
        <w:autoSpaceDE/>
        <w:autoSpaceDN/>
        <w:bidi w:val="0"/>
        <w:adjustRightInd w:val="0"/>
        <w:snapToGrid w:val="0"/>
        <w:spacing w:after="0" w:line="560" w:lineRule="exact"/>
        <w:ind w:firstLine="640" w:firstLineChars="200"/>
        <w:jc w:val="left"/>
        <w:textAlignment w:val="auto"/>
        <w:rPr>
          <w:rFonts w:ascii="仿宋_GB2312" w:hAnsi="Arial" w:eastAsia="仿宋_GB2312" w:cs="Arial"/>
          <w:color w:val="000000"/>
          <w:sz w:val="32"/>
          <w:szCs w:val="32"/>
        </w:rPr>
      </w:pPr>
      <w:r>
        <w:rPr>
          <w:rFonts w:hint="eastAsia" w:ascii="仿宋_GB2312" w:hAnsi="Arial" w:eastAsia="仿宋_GB2312" w:cs="Arial"/>
          <w:color w:val="000000"/>
          <w:sz w:val="32"/>
          <w:szCs w:val="32"/>
          <w:lang w:eastAsia="zh-CN"/>
        </w:rPr>
        <w:t>本报告的电子版可在“中国滕州网”网站查询和下载。</w:t>
      </w:r>
      <w:r>
        <w:rPr>
          <w:rFonts w:hint="eastAsia" w:ascii="仿宋_GB2312" w:hAnsi="Arial" w:eastAsia="仿宋_GB2312" w:cs="Arial"/>
          <w:color w:val="000000"/>
          <w:sz w:val="32"/>
          <w:szCs w:val="32"/>
        </w:rPr>
        <w:t>如对本报告有任何疑问，请与柴胡店镇人民政府联系</w:t>
      </w:r>
      <w:r>
        <w:rPr>
          <w:rFonts w:hint="eastAsia" w:ascii="仿宋_GB2312" w:hAnsi="Arial" w:eastAsia="仿宋_GB2312" w:cs="Arial"/>
          <w:color w:val="000000"/>
          <w:sz w:val="32"/>
          <w:szCs w:val="32"/>
          <w:lang w:eastAsia="zh-CN"/>
        </w:rPr>
        <w:t>。</w:t>
      </w:r>
      <w:r>
        <w:rPr>
          <w:rFonts w:hint="eastAsia" w:ascii="仿宋_GB2312" w:hAnsi="Arial" w:eastAsia="仿宋_GB2312" w:cs="Arial"/>
          <w:color w:val="000000"/>
          <w:sz w:val="32"/>
          <w:szCs w:val="32"/>
        </w:rPr>
        <w:t>（联系电话：0632-2205128</w:t>
      </w:r>
      <w:r>
        <w:rPr>
          <w:rFonts w:hint="eastAsia" w:ascii="仿宋_GB2312" w:hAnsi="Arial" w:eastAsia="仿宋_GB2312" w:cs="Arial"/>
          <w:color w:val="000000"/>
          <w:sz w:val="32"/>
          <w:szCs w:val="32"/>
          <w:lang w:eastAsia="zh-CN"/>
        </w:rPr>
        <w:t>，邮箱：</w:t>
      </w:r>
      <w:r>
        <w:rPr>
          <w:rFonts w:hint="eastAsia" w:ascii="仿宋_GB2312" w:hAnsi="Arial" w:eastAsia="仿宋_GB2312" w:cs="Arial"/>
          <w:color w:val="000000"/>
          <w:sz w:val="32"/>
          <w:szCs w:val="32"/>
          <w:lang w:val="en-US" w:eastAsia="zh-CN"/>
        </w:rPr>
        <w:t>chdzrmzfadmin@zz.shandong.cn</w:t>
      </w:r>
      <w:r>
        <w:rPr>
          <w:rFonts w:hint="eastAsia" w:ascii="仿宋_GB2312" w:hAnsi="Arial" w:eastAsia="仿宋_GB2312" w:cs="Arial"/>
          <w:color w:val="000000"/>
          <w:sz w:val="32"/>
          <w:szCs w:val="32"/>
        </w:rPr>
        <w:t>）</w:t>
      </w:r>
    </w:p>
    <w:p>
      <w:pPr>
        <w:spacing w:line="560" w:lineRule="exact"/>
        <w:rPr>
          <w:rFonts w:ascii="仿宋_GB2312" w:hAnsi="Arial" w:eastAsia="仿宋_GB2312" w:cs="Arial"/>
          <w:color w:val="000000"/>
          <w:sz w:val="32"/>
          <w:szCs w:val="32"/>
        </w:rPr>
      </w:pPr>
      <w:r>
        <w:rPr>
          <w:rFonts w:hint="eastAsia" w:ascii="仿宋_GB2312" w:hAnsi="Arial" w:eastAsia="仿宋_GB2312" w:cs="Arial"/>
          <w:color w:val="000000"/>
          <w:sz w:val="32"/>
          <w:szCs w:val="32"/>
        </w:rPr>
        <w:t xml:space="preserve">                             </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decorative"/>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094A46"/>
    <w:multiLevelType w:val="singleLevel"/>
    <w:tmpl w:val="FE094A46"/>
    <w:lvl w:ilvl="0" w:tentative="0">
      <w:start w:val="1"/>
      <w:numFmt w:val="chineseCounting"/>
      <w:suff w:val="nothing"/>
      <w:lvlText w:val="%1、"/>
      <w:lvlJc w:val="left"/>
      <w:pPr>
        <w:ind w:left="684" w:leftChars="0" w:firstLine="0" w:firstLineChars="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720"/>
  <w:displayHorizontalDrawingGridEvery w:val="1"/>
  <w:displayVerticalDrawingGridEvery w:val="1"/>
  <w:noPunctuationKerning w:val="true"/>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xNDc0NjVkYTc3YmU3ZTg1OGEzMDcxZDFlNTI5MTUifQ=="/>
  </w:docVars>
  <w:rsids>
    <w:rsidRoot w:val="00D31D50"/>
    <w:rsid w:val="00020BA6"/>
    <w:rsid w:val="00055BB5"/>
    <w:rsid w:val="000C4DDE"/>
    <w:rsid w:val="000F1852"/>
    <w:rsid w:val="0010773E"/>
    <w:rsid w:val="00237DF4"/>
    <w:rsid w:val="002435F9"/>
    <w:rsid w:val="00261465"/>
    <w:rsid w:val="002638F5"/>
    <w:rsid w:val="002648DF"/>
    <w:rsid w:val="002834A9"/>
    <w:rsid w:val="0029643D"/>
    <w:rsid w:val="00296B10"/>
    <w:rsid w:val="002C358A"/>
    <w:rsid w:val="00323B43"/>
    <w:rsid w:val="00357D09"/>
    <w:rsid w:val="003841C9"/>
    <w:rsid w:val="003868F2"/>
    <w:rsid w:val="00392EFD"/>
    <w:rsid w:val="003B27A0"/>
    <w:rsid w:val="003C0C19"/>
    <w:rsid w:val="003C3876"/>
    <w:rsid w:val="003D37D8"/>
    <w:rsid w:val="00426133"/>
    <w:rsid w:val="004358AB"/>
    <w:rsid w:val="00451615"/>
    <w:rsid w:val="0047375D"/>
    <w:rsid w:val="004B04AB"/>
    <w:rsid w:val="004C7704"/>
    <w:rsid w:val="00582F43"/>
    <w:rsid w:val="005A0A21"/>
    <w:rsid w:val="005B4CD0"/>
    <w:rsid w:val="005D6031"/>
    <w:rsid w:val="005F359C"/>
    <w:rsid w:val="00675364"/>
    <w:rsid w:val="00676A97"/>
    <w:rsid w:val="006A6C58"/>
    <w:rsid w:val="006C112B"/>
    <w:rsid w:val="00723B4B"/>
    <w:rsid w:val="00726E08"/>
    <w:rsid w:val="00767AD3"/>
    <w:rsid w:val="007D185D"/>
    <w:rsid w:val="00811AA2"/>
    <w:rsid w:val="00835862"/>
    <w:rsid w:val="00844CA1"/>
    <w:rsid w:val="008452CD"/>
    <w:rsid w:val="008704D1"/>
    <w:rsid w:val="00897EA1"/>
    <w:rsid w:val="008A6EE9"/>
    <w:rsid w:val="008B7726"/>
    <w:rsid w:val="008D0518"/>
    <w:rsid w:val="008D1CD4"/>
    <w:rsid w:val="00922A05"/>
    <w:rsid w:val="00930F25"/>
    <w:rsid w:val="009637B4"/>
    <w:rsid w:val="00975BF4"/>
    <w:rsid w:val="00995DEA"/>
    <w:rsid w:val="009960A0"/>
    <w:rsid w:val="009A648C"/>
    <w:rsid w:val="00A1658E"/>
    <w:rsid w:val="00A21C80"/>
    <w:rsid w:val="00A4747C"/>
    <w:rsid w:val="00A55640"/>
    <w:rsid w:val="00A67CD6"/>
    <w:rsid w:val="00AC2A02"/>
    <w:rsid w:val="00AE0FA3"/>
    <w:rsid w:val="00B0153D"/>
    <w:rsid w:val="00B16869"/>
    <w:rsid w:val="00B75851"/>
    <w:rsid w:val="00B83CAC"/>
    <w:rsid w:val="00B945A0"/>
    <w:rsid w:val="00BC5964"/>
    <w:rsid w:val="00C711FA"/>
    <w:rsid w:val="00CA3825"/>
    <w:rsid w:val="00D23256"/>
    <w:rsid w:val="00D31D50"/>
    <w:rsid w:val="00D74728"/>
    <w:rsid w:val="00D81DA7"/>
    <w:rsid w:val="00D93C04"/>
    <w:rsid w:val="00DE42BF"/>
    <w:rsid w:val="00E07C78"/>
    <w:rsid w:val="00E13ADB"/>
    <w:rsid w:val="00E3540B"/>
    <w:rsid w:val="00E67F2C"/>
    <w:rsid w:val="00E86B3D"/>
    <w:rsid w:val="00EC4C74"/>
    <w:rsid w:val="00F07384"/>
    <w:rsid w:val="00F4609B"/>
    <w:rsid w:val="00F47FF8"/>
    <w:rsid w:val="00F939C5"/>
    <w:rsid w:val="00FC1FB0"/>
    <w:rsid w:val="0353539C"/>
    <w:rsid w:val="04CB5C36"/>
    <w:rsid w:val="189818BE"/>
    <w:rsid w:val="225D0766"/>
    <w:rsid w:val="27F545F7"/>
    <w:rsid w:val="50A75D0F"/>
    <w:rsid w:val="52D27A53"/>
    <w:rsid w:val="62BE1BC0"/>
    <w:rsid w:val="635C2947"/>
    <w:rsid w:val="7C68126E"/>
    <w:rsid w:val="7FEF0841"/>
    <w:rsid w:val="7FF3458E"/>
    <w:rsid w:val="DFD457AE"/>
    <w:rsid w:val="EDFFE3BD"/>
    <w:rsid w:val="FFDF04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4"/>
    <w:semiHidden/>
    <w:unhideWhenUsed/>
    <w:qFormat/>
    <w:uiPriority w:val="99"/>
    <w:pPr>
      <w:spacing w:after="0"/>
    </w:pPr>
    <w:rPr>
      <w:sz w:val="18"/>
      <w:szCs w:val="18"/>
    </w:rPr>
  </w:style>
  <w:style w:type="paragraph" w:styleId="3">
    <w:name w:val="footer"/>
    <w:basedOn w:val="1"/>
    <w:link w:val="13"/>
    <w:semiHidden/>
    <w:unhideWhenUsed/>
    <w:qFormat/>
    <w:uiPriority w:val="99"/>
    <w:pPr>
      <w:tabs>
        <w:tab w:val="center" w:pos="4153"/>
        <w:tab w:val="right" w:pos="8306"/>
      </w:tabs>
    </w:pPr>
    <w:rPr>
      <w:sz w:val="18"/>
      <w:szCs w:val="18"/>
    </w:rPr>
  </w:style>
  <w:style w:type="paragraph" w:styleId="4">
    <w:name w:val="header"/>
    <w:basedOn w:val="1"/>
    <w:link w:val="12"/>
    <w:semiHidden/>
    <w:unhideWhenUsed/>
    <w:qFormat/>
    <w:uiPriority w:val="99"/>
    <w:pPr>
      <w:pBdr>
        <w:bottom w:val="single" w:color="auto" w:sz="6" w:space="1"/>
      </w:pBdr>
      <w:tabs>
        <w:tab w:val="center" w:pos="4153"/>
        <w:tab w:val="right" w:pos="8306"/>
      </w:tabs>
      <w:jc w:val="center"/>
    </w:pPr>
    <w:rPr>
      <w:sz w:val="18"/>
      <w:szCs w:val="18"/>
    </w:rPr>
  </w:style>
  <w:style w:type="paragraph" w:styleId="5">
    <w:name w:val="Normal (Web)"/>
    <w:basedOn w:val="1"/>
    <w:qFormat/>
    <w:uiPriority w:val="0"/>
    <w:pPr>
      <w:widowControl w:val="0"/>
      <w:adjustRightInd/>
      <w:snapToGrid/>
      <w:spacing w:beforeAutospacing="1" w:after="0" w:afterAutospacing="1" w:line="315" w:lineRule="atLeast"/>
    </w:pPr>
    <w:rPr>
      <w:rFonts w:cs="Times New Roman" w:asciiTheme="minorHAnsi" w:hAnsiTheme="minorHAnsi" w:eastAsiaTheme="minorEastAsia"/>
      <w:sz w:val="24"/>
      <w:szCs w:val="24"/>
    </w:rPr>
  </w:style>
  <w:style w:type="character" w:styleId="8">
    <w:name w:val="Strong"/>
    <w:basedOn w:val="7"/>
    <w:qFormat/>
    <w:uiPriority w:val="22"/>
    <w:rPr>
      <w:b/>
      <w:bCs/>
    </w:rPr>
  </w:style>
  <w:style w:type="character" w:styleId="9">
    <w:name w:val="FollowedHyperlink"/>
    <w:basedOn w:val="7"/>
    <w:semiHidden/>
    <w:unhideWhenUsed/>
    <w:qFormat/>
    <w:uiPriority w:val="99"/>
    <w:rPr>
      <w:color w:val="333333"/>
      <w:u w:val="none"/>
    </w:rPr>
  </w:style>
  <w:style w:type="character" w:styleId="10">
    <w:name w:val="Emphasis"/>
    <w:basedOn w:val="7"/>
    <w:qFormat/>
    <w:uiPriority w:val="20"/>
  </w:style>
  <w:style w:type="character" w:styleId="11">
    <w:name w:val="Hyperlink"/>
    <w:basedOn w:val="7"/>
    <w:semiHidden/>
    <w:unhideWhenUsed/>
    <w:qFormat/>
    <w:uiPriority w:val="99"/>
    <w:rPr>
      <w:color w:val="333333"/>
      <w:u w:val="none"/>
    </w:rPr>
  </w:style>
  <w:style w:type="character" w:customStyle="1" w:styleId="12">
    <w:name w:val="页眉 Char"/>
    <w:basedOn w:val="7"/>
    <w:link w:val="4"/>
    <w:semiHidden/>
    <w:qFormat/>
    <w:uiPriority w:val="99"/>
    <w:rPr>
      <w:rFonts w:ascii="Tahoma" w:hAnsi="Tahoma"/>
      <w:sz w:val="18"/>
      <w:szCs w:val="18"/>
    </w:rPr>
  </w:style>
  <w:style w:type="character" w:customStyle="1" w:styleId="13">
    <w:name w:val="页脚 Char"/>
    <w:basedOn w:val="7"/>
    <w:link w:val="3"/>
    <w:semiHidden/>
    <w:qFormat/>
    <w:uiPriority w:val="99"/>
    <w:rPr>
      <w:rFonts w:ascii="Tahoma" w:hAnsi="Tahoma"/>
      <w:sz w:val="18"/>
      <w:szCs w:val="18"/>
    </w:rPr>
  </w:style>
  <w:style w:type="character" w:customStyle="1" w:styleId="14">
    <w:name w:val="批注框文本 Char"/>
    <w:basedOn w:val="7"/>
    <w:link w:val="2"/>
    <w:semiHidden/>
    <w:qFormat/>
    <w:uiPriority w:val="99"/>
    <w:rPr>
      <w:rFonts w:ascii="Tahoma" w:hAnsi="Tahoma"/>
      <w:sz w:val="18"/>
      <w:szCs w:val="18"/>
    </w:rPr>
  </w:style>
  <w:style w:type="character" w:customStyle="1" w:styleId="15">
    <w:name w:val="a_p_3"/>
    <w:basedOn w:val="7"/>
    <w:qFormat/>
    <w:uiPriority w:val="0"/>
    <w:rPr>
      <w:sz w:val="18"/>
      <w:szCs w:val="18"/>
    </w:rPr>
  </w:style>
  <w:style w:type="character" w:customStyle="1" w:styleId="16">
    <w:name w:val="swiper-active-switch10"/>
    <w:basedOn w:val="7"/>
    <w:qFormat/>
    <w:uiPriority w:val="0"/>
  </w:style>
  <w:style w:type="character" w:customStyle="1" w:styleId="17">
    <w:name w:val="swiper-active-switch11"/>
    <w:basedOn w:val="7"/>
    <w:qFormat/>
    <w:uiPriority w:val="0"/>
  </w:style>
  <w:style w:type="character" w:customStyle="1" w:styleId="18">
    <w:name w:val="ul_li_a_1"/>
    <w:basedOn w:val="7"/>
    <w:qFormat/>
    <w:uiPriority w:val="0"/>
    <w:rPr>
      <w:b/>
      <w:bCs/>
      <w:color w:val="FFFFFF"/>
    </w:rPr>
  </w:style>
  <w:style w:type="character" w:customStyle="1" w:styleId="19">
    <w:name w:val="hover19"/>
    <w:basedOn w:val="7"/>
    <w:qFormat/>
    <w:uiPriority w:val="0"/>
  </w:style>
  <w:style w:type="character" w:customStyle="1" w:styleId="20">
    <w:name w:val="a_p_1"/>
    <w:basedOn w:val="7"/>
    <w:qFormat/>
    <w:uiPriority w:val="0"/>
    <w:rPr>
      <w:sz w:val="18"/>
      <w:szCs w:val="18"/>
    </w:rPr>
  </w:style>
  <w:style w:type="character" w:customStyle="1" w:styleId="21">
    <w:name w:val="a_p_2"/>
    <w:basedOn w:val="7"/>
    <w:qFormat/>
    <w:uiPriority w:val="0"/>
    <w:rPr>
      <w:sz w:val="18"/>
      <w:szCs w:val="18"/>
    </w:rPr>
  </w:style>
  <w:style w:type="character" w:customStyle="1" w:styleId="22">
    <w:name w:val="a_p_21"/>
    <w:basedOn w:val="7"/>
    <w:qFormat/>
    <w:uiPriority w:val="0"/>
  </w:style>
  <w:style w:type="character" w:customStyle="1" w:styleId="23">
    <w:name w:val="exap"/>
    <w:basedOn w:val="7"/>
    <w:qFormat/>
    <w:uiPriority w:val="0"/>
    <w:rPr>
      <w:sz w:val="18"/>
      <w:szCs w:val="18"/>
    </w:rPr>
  </w:style>
  <w:style w:type="character" w:customStyle="1" w:styleId="24">
    <w:name w:val="last-child3"/>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558</Words>
  <Characters>3187</Characters>
  <Lines>26</Lines>
  <Paragraphs>7</Paragraphs>
  <TotalTime>19</TotalTime>
  <ScaleCrop>false</ScaleCrop>
  <LinksUpToDate>false</LinksUpToDate>
  <CharactersWithSpaces>3738</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2008-09-12T09:20:00Z</dcterms:created>
  <dc:creator>HUAWEI</dc:creator>
  <cp:lastModifiedBy>user</cp:lastModifiedBy>
  <dcterms:modified xsi:type="dcterms:W3CDTF">2024-01-25T15:06:58Z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C37D0176B3C54959930ED3C31EE6EC83_13</vt:lpwstr>
  </property>
</Properties>
</file>