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600" w:lineRule="exact"/>
        <w:ind w:left="0" w:firstLine="0"/>
        <w:jc w:val="center"/>
        <w:textAlignment w:val="auto"/>
        <w:rPr>
          <w:rFonts w:ascii="sans-serif" w:hAnsi="sans-serif" w:eastAsia="sans-serif" w:cs="sans-serif"/>
          <w:i w:val="0"/>
          <w:iCs w:val="0"/>
          <w:caps w:val="0"/>
          <w:color w:val="000000"/>
          <w:spacing w:val="0"/>
          <w:sz w:val="27"/>
          <w:szCs w:val="27"/>
        </w:rPr>
      </w:pPr>
      <w:r>
        <w:rPr>
          <w:rFonts w:ascii="方正小标宋简体" w:hAnsi="方正小标宋简体" w:eastAsia="方正小标宋简体" w:cs="方正小标宋简体"/>
          <w:i w:val="0"/>
          <w:iCs w:val="0"/>
          <w:caps w:val="0"/>
          <w:color w:val="333333"/>
          <w:spacing w:val="0"/>
          <w:sz w:val="43"/>
          <w:szCs w:val="43"/>
          <w:shd w:val="clear" w:fill="FFFFFF"/>
        </w:rPr>
        <w:t>滕州市鲍沟镇人民政府</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600" w:lineRule="exact"/>
        <w:ind w:left="0" w:firstLine="0"/>
        <w:jc w:val="center"/>
        <w:textAlignment w:val="auto"/>
        <w:rPr>
          <w:rFonts w:hint="default" w:ascii="sans-serif" w:hAnsi="sans-serif" w:eastAsia="sans-serif" w:cs="sans-serif"/>
          <w:i w:val="0"/>
          <w:iCs w:val="0"/>
          <w:caps w:val="0"/>
          <w:color w:val="000000"/>
          <w:spacing w:val="0"/>
          <w:sz w:val="27"/>
          <w:szCs w:val="27"/>
        </w:rPr>
      </w:pPr>
      <w:r>
        <w:rPr>
          <w:rFonts w:hint="default" w:ascii="方正小标宋简体" w:hAnsi="方正小标宋简体" w:eastAsia="方正小标宋简体" w:cs="方正小标宋简体"/>
          <w:i w:val="0"/>
          <w:iCs w:val="0"/>
          <w:caps w:val="0"/>
          <w:color w:val="333333"/>
          <w:spacing w:val="-15"/>
          <w:sz w:val="43"/>
          <w:szCs w:val="43"/>
          <w:shd w:val="clear" w:fill="FFFFFF"/>
        </w:rPr>
        <w:t>2023</w:t>
      </w:r>
      <w:r>
        <w:rPr>
          <w:rFonts w:hint="default" w:ascii="方正小标宋简体" w:hAnsi="方正小标宋简体" w:eastAsia="方正小标宋简体" w:cs="方正小标宋简体"/>
          <w:i w:val="0"/>
          <w:iCs w:val="0"/>
          <w:caps w:val="0"/>
          <w:color w:val="333333"/>
          <w:spacing w:val="0"/>
          <w:sz w:val="43"/>
          <w:szCs w:val="43"/>
          <w:shd w:val="clear" w:fill="FFFFFF"/>
        </w:rPr>
        <w:t>年政府信息公开工作年度报告</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600" w:lineRule="exact"/>
        <w:ind w:left="0" w:firstLine="420"/>
        <w:jc w:val="both"/>
        <w:textAlignment w:val="auto"/>
        <w:rPr>
          <w:rFonts w:hint="default" w:ascii="sans-serif" w:hAnsi="sans-serif" w:eastAsia="sans-serif" w:cs="sans-serif"/>
          <w:i w:val="0"/>
          <w:iCs w:val="0"/>
          <w:caps w:val="0"/>
          <w:color w:val="000000"/>
          <w:spacing w:val="0"/>
          <w:sz w:val="27"/>
          <w:szCs w:val="27"/>
        </w:rPr>
      </w:pP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600" w:lineRule="exact"/>
        <w:ind w:left="0" w:firstLine="42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按照《中华人民共和国政府信息公开条例》（国务院令第711号）规定，以及《国务院办公厅政府信息与政务公开办公室关于印发＜中华人民共和国政府信息公开工作年度报告格式＞的通知》（国办公开办函〔2021〕30 号）、山东省人民政府办公厅、滕州市人民政府办公室《关于做好2023年政府信息公开工作年度报告编制和发布工作的通知》等文件要求，结合鲍沟镇实际特编制2023年度鲍沟镇政府信息公开年度报告并向社会公布。本年报由政府信息公开工作总体情况、主动公开政府信息情况、收到和处理政府信息公开申请情况、政府信息公开行政复议行政诉讼情况、存在的主要问题及改进情况等五个部分组成。年报中所列数据的统计期限自2023年1月1日起至2023年12月31日止。</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600" w:lineRule="exact"/>
        <w:ind w:firstLine="640" w:firstLineChars="200"/>
        <w:jc w:val="both"/>
        <w:textAlignment w:val="auto"/>
        <w:rPr>
          <w:rStyle w:val="6"/>
          <w:rFonts w:hint="eastAsia" w:ascii="黑体" w:hAnsi="黑体" w:eastAsia="黑体" w:cs="黑体"/>
          <w:b w:val="0"/>
          <w:bCs/>
          <w:i w:val="0"/>
          <w:iCs w:val="0"/>
          <w:caps w:val="0"/>
          <w:color w:val="333333"/>
          <w:spacing w:val="0"/>
          <w:sz w:val="32"/>
          <w:szCs w:val="32"/>
        </w:rPr>
      </w:pPr>
      <w:r>
        <w:rPr>
          <w:rStyle w:val="6"/>
          <w:rFonts w:hint="eastAsia" w:ascii="黑体" w:hAnsi="黑体" w:eastAsia="黑体" w:cs="黑体"/>
          <w:b w:val="0"/>
          <w:bCs/>
          <w:i w:val="0"/>
          <w:iCs w:val="0"/>
          <w:caps w:val="0"/>
          <w:color w:val="333333"/>
          <w:spacing w:val="0"/>
          <w:sz w:val="32"/>
          <w:szCs w:val="32"/>
          <w:lang w:val="en-US" w:eastAsia="zh-CN"/>
        </w:rPr>
        <w:t>一、</w:t>
      </w:r>
      <w:r>
        <w:rPr>
          <w:rStyle w:val="6"/>
          <w:rFonts w:hint="eastAsia" w:ascii="黑体" w:hAnsi="黑体" w:eastAsia="黑体" w:cs="黑体"/>
          <w:b w:val="0"/>
          <w:bCs/>
          <w:i w:val="0"/>
          <w:iCs w:val="0"/>
          <w:caps w:val="0"/>
          <w:color w:val="333333"/>
          <w:spacing w:val="0"/>
          <w:sz w:val="32"/>
          <w:szCs w:val="32"/>
        </w:rPr>
        <w:t>总体情况 </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Autospacing="0" w:line="600" w:lineRule="exact"/>
        <w:ind w:right="0" w:rightChars="0" w:firstLine="640" w:firstLineChars="200"/>
        <w:jc w:val="both"/>
        <w:textAlignment w:val="auto"/>
        <w:rPr>
          <w:rStyle w:val="6"/>
          <w:rFonts w:hint="eastAsia" w:ascii="仿宋" w:hAnsi="仿宋" w:eastAsia="仿宋" w:cs="仿宋"/>
          <w:b w:val="0"/>
          <w:bCs/>
          <w:i w:val="0"/>
          <w:iCs w:val="0"/>
          <w:caps w:val="0"/>
          <w:color w:val="000000"/>
          <w:spacing w:val="0"/>
          <w:sz w:val="32"/>
          <w:szCs w:val="32"/>
          <w:lang w:val="en-US" w:eastAsia="zh-CN"/>
        </w:rPr>
      </w:pPr>
      <w:r>
        <w:rPr>
          <w:rStyle w:val="6"/>
          <w:rFonts w:hint="eastAsia" w:ascii="仿宋" w:hAnsi="仿宋" w:eastAsia="仿宋" w:cs="仿宋"/>
          <w:b w:val="0"/>
          <w:bCs/>
          <w:i w:val="0"/>
          <w:iCs w:val="0"/>
          <w:caps w:val="0"/>
          <w:color w:val="000000"/>
          <w:spacing w:val="0"/>
          <w:sz w:val="32"/>
          <w:szCs w:val="32"/>
          <w:lang w:val="en-US" w:eastAsia="zh-CN"/>
        </w:rPr>
        <w:t>2023年鲍沟镇</w:t>
      </w:r>
      <w:r>
        <w:rPr>
          <w:rStyle w:val="6"/>
          <w:rFonts w:hint="eastAsia" w:ascii="仿宋" w:hAnsi="仿宋" w:eastAsia="仿宋" w:cs="仿宋"/>
          <w:b w:val="0"/>
          <w:bCs/>
          <w:i w:val="0"/>
          <w:iCs w:val="0"/>
          <w:caps w:val="0"/>
          <w:color w:val="000000"/>
          <w:spacing w:val="0"/>
          <w:sz w:val="32"/>
          <w:szCs w:val="32"/>
        </w:rPr>
        <w:t>认真践行习近平新时代中国特色社会主义思想，深入学习贯彻党的二十大精神，紧紧围绕市委、市政府决策部署，坚持“以公开为常态、不公开为例外”原则,积极推进行政权力运行公开、重点领域信息公开，完善依申请公开答复规范，全面加强政策解读与回应社会关切，有效提升了镇政府工作的透明度和公信力。</w:t>
      </w:r>
      <w:r>
        <w:rPr>
          <w:rStyle w:val="6"/>
          <w:rFonts w:hint="eastAsia" w:ascii="仿宋" w:hAnsi="仿宋" w:eastAsia="仿宋" w:cs="仿宋"/>
          <w:b w:val="0"/>
          <w:bCs/>
          <w:i w:val="0"/>
          <w:iCs w:val="0"/>
          <w:caps w:val="0"/>
          <w:color w:val="000000"/>
          <w:spacing w:val="0"/>
          <w:sz w:val="32"/>
          <w:szCs w:val="32"/>
          <w:lang w:eastAsia="zh-CN"/>
        </w:rPr>
        <w:t>在实际工作中，鲍沟镇一是</w:t>
      </w:r>
      <w:r>
        <w:rPr>
          <w:rStyle w:val="6"/>
          <w:rFonts w:hint="eastAsia" w:ascii="仿宋" w:hAnsi="仿宋" w:eastAsia="仿宋" w:cs="仿宋"/>
          <w:b w:val="0"/>
          <w:bCs/>
          <w:i w:val="0"/>
          <w:iCs w:val="0"/>
          <w:caps w:val="0"/>
          <w:color w:val="000000"/>
          <w:spacing w:val="0"/>
          <w:sz w:val="32"/>
          <w:szCs w:val="32"/>
        </w:rPr>
        <w:t>充实调整</w:t>
      </w:r>
      <w:r>
        <w:rPr>
          <w:rStyle w:val="6"/>
          <w:rFonts w:hint="eastAsia" w:ascii="仿宋" w:hAnsi="仿宋" w:eastAsia="仿宋" w:cs="仿宋"/>
          <w:b w:val="0"/>
          <w:bCs/>
          <w:i w:val="0"/>
          <w:iCs w:val="0"/>
          <w:caps w:val="0"/>
          <w:color w:val="000000"/>
          <w:spacing w:val="0"/>
          <w:sz w:val="32"/>
          <w:szCs w:val="32"/>
          <w:lang w:eastAsia="zh-CN"/>
        </w:rPr>
        <w:t>了</w:t>
      </w:r>
      <w:r>
        <w:rPr>
          <w:rStyle w:val="6"/>
          <w:rFonts w:hint="eastAsia" w:ascii="仿宋" w:hAnsi="仿宋" w:eastAsia="仿宋" w:cs="仿宋"/>
          <w:b w:val="0"/>
          <w:bCs/>
          <w:i w:val="0"/>
          <w:iCs w:val="0"/>
          <w:caps w:val="0"/>
          <w:color w:val="000000"/>
          <w:spacing w:val="0"/>
          <w:sz w:val="32"/>
          <w:szCs w:val="32"/>
        </w:rPr>
        <w:t>政府信息公开领导小组，</w:t>
      </w:r>
      <w:r>
        <w:rPr>
          <w:rStyle w:val="6"/>
          <w:rFonts w:hint="eastAsia" w:ascii="仿宋" w:hAnsi="仿宋" w:eastAsia="仿宋" w:cs="仿宋"/>
          <w:b w:val="0"/>
          <w:bCs/>
          <w:i w:val="0"/>
          <w:iCs w:val="0"/>
          <w:caps w:val="0"/>
          <w:color w:val="000000"/>
          <w:spacing w:val="0"/>
          <w:sz w:val="32"/>
          <w:szCs w:val="32"/>
          <w:lang w:eastAsia="zh-CN"/>
        </w:rPr>
        <w:t>各</w:t>
      </w:r>
      <w:r>
        <w:rPr>
          <w:rStyle w:val="6"/>
          <w:rFonts w:hint="eastAsia" w:ascii="仿宋" w:hAnsi="仿宋" w:eastAsia="仿宋" w:cs="仿宋"/>
          <w:b w:val="0"/>
          <w:bCs/>
          <w:i w:val="0"/>
          <w:iCs w:val="0"/>
          <w:caps w:val="0"/>
          <w:color w:val="000000"/>
          <w:spacing w:val="0"/>
          <w:sz w:val="32"/>
          <w:szCs w:val="32"/>
        </w:rPr>
        <w:t>部门分工负责的工作机制，明确专人研究政策、统筹调度，把责任落实到人，推动政府信息公开工作有序开展。二是强化制度建设。由各部门、岗位定期报送政务信息，每季度对工作开展情况进行统筹调度，形成上下联动、覆盖面广的信息公开网络体系。</w:t>
      </w:r>
      <w:r>
        <w:rPr>
          <w:rStyle w:val="6"/>
          <w:rFonts w:hint="eastAsia" w:ascii="仿宋" w:hAnsi="仿宋" w:eastAsia="仿宋" w:cs="仿宋"/>
          <w:b w:val="0"/>
          <w:bCs/>
          <w:i w:val="0"/>
          <w:iCs w:val="0"/>
          <w:caps w:val="0"/>
          <w:color w:val="000000"/>
          <w:spacing w:val="0"/>
          <w:sz w:val="32"/>
          <w:szCs w:val="32"/>
          <w:lang w:eastAsia="zh-CN"/>
        </w:rPr>
        <w:t>工作中</w:t>
      </w:r>
      <w:r>
        <w:rPr>
          <w:rStyle w:val="6"/>
          <w:rFonts w:hint="eastAsia" w:ascii="仿宋" w:hAnsi="仿宋" w:eastAsia="仿宋" w:cs="仿宋"/>
          <w:b w:val="0"/>
          <w:bCs/>
          <w:i w:val="0"/>
          <w:iCs w:val="0"/>
          <w:caps w:val="0"/>
          <w:color w:val="000000"/>
          <w:spacing w:val="0"/>
          <w:sz w:val="32"/>
          <w:szCs w:val="32"/>
        </w:rPr>
        <w:t>严格遵循“上网信息不涉密、涉密信息不上网”保密制度，做到“依法公开，注重实效，有利监督”。</w:t>
      </w:r>
      <w:r>
        <w:rPr>
          <w:rStyle w:val="6"/>
          <w:rFonts w:hint="default" w:ascii="仿宋" w:hAnsi="仿宋" w:eastAsia="仿宋" w:cs="仿宋"/>
          <w:b w:val="0"/>
          <w:bCs/>
          <w:i w:val="0"/>
          <w:iCs w:val="0"/>
          <w:caps w:val="0"/>
          <w:color w:val="000000"/>
          <w:spacing w:val="0"/>
          <w:sz w:val="32"/>
          <w:szCs w:val="32"/>
          <w:lang w:val="en-US" w:eastAsia="zh-CN"/>
        </w:rPr>
        <w:t>积极开拓公开渠道，创新公开方式，进一步提高政府治理和政务服务水平，增强人民群众获得感和满意度</w:t>
      </w:r>
      <w:r>
        <w:rPr>
          <w:rStyle w:val="6"/>
          <w:rFonts w:hint="eastAsia" w:ascii="仿宋" w:hAnsi="仿宋" w:eastAsia="仿宋" w:cs="仿宋"/>
          <w:b w:val="0"/>
          <w:bCs/>
          <w:i w:val="0"/>
          <w:iCs w:val="0"/>
          <w:caps w:val="0"/>
          <w:color w:val="000000"/>
          <w:spacing w:val="0"/>
          <w:sz w:val="32"/>
          <w:szCs w:val="32"/>
          <w:lang w:val="en-US" w:eastAsia="zh-CN"/>
        </w:rPr>
        <w:t>。</w:t>
      </w:r>
    </w:p>
    <w:p>
      <w:pPr>
        <w:pStyle w:val="3"/>
        <w:keepNext w:val="0"/>
        <w:keepLines w:val="0"/>
        <w:widowControl/>
        <w:suppressLineNumbers w:val="0"/>
        <w:spacing w:before="0" w:beforeAutospacing="0" w:line="368" w:lineRule="atLeast"/>
        <w:jc w:val="center"/>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drawing>
          <wp:inline distT="0" distB="0" distL="114300" distR="114300">
            <wp:extent cx="4935220" cy="2416175"/>
            <wp:effectExtent l="0" t="0" r="17780" b="3175"/>
            <wp:docPr id="13" name="图片 13" descr="360截图2024012411184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60截图20240124111841929"/>
                    <pic:cNvPicPr>
                      <a:picLocks noChangeAspect="1"/>
                    </pic:cNvPicPr>
                  </pic:nvPicPr>
                  <pic:blipFill>
                    <a:blip r:embed="rId4"/>
                    <a:srcRect b="20106"/>
                    <a:stretch>
                      <a:fillRect/>
                    </a:stretch>
                  </pic:blipFill>
                  <pic:spPr>
                    <a:xfrm>
                      <a:off x="0" y="0"/>
                      <a:ext cx="4935220" cy="2416175"/>
                    </a:xfrm>
                    <a:prstGeom prst="rect">
                      <a:avLst/>
                    </a:prstGeom>
                  </pic:spPr>
                </pic:pic>
              </a:graphicData>
            </a:graphic>
          </wp:inline>
        </w:drawing>
      </w:r>
    </w:p>
    <w:p>
      <w:pPr>
        <w:pStyle w:val="3"/>
        <w:keepNext w:val="0"/>
        <w:keepLines w:val="0"/>
        <w:widowControl/>
        <w:numPr>
          <w:ilvl w:val="0"/>
          <w:numId w:val="1"/>
        </w:numPr>
        <w:suppressLineNumbers w:val="0"/>
        <w:spacing w:before="0" w:beforeAutospacing="0" w:line="368" w:lineRule="atLeast"/>
        <w:jc w:val="both"/>
        <w:rPr>
          <w:rFonts w:hint="eastAsia" w:ascii="仿宋" w:hAnsi="仿宋" w:eastAsia="仿宋" w:cs="仿宋"/>
          <w:i w:val="0"/>
          <w:iCs w:val="0"/>
          <w:caps w:val="0"/>
          <w:color w:val="000000"/>
          <w:spacing w:val="0"/>
          <w:sz w:val="32"/>
          <w:szCs w:val="32"/>
        </w:rPr>
      </w:pPr>
      <w:r>
        <w:rPr>
          <w:rFonts w:hint="eastAsia" w:ascii="楷体" w:hAnsi="楷体" w:eastAsia="楷体" w:cs="楷体"/>
          <w:i w:val="0"/>
          <w:iCs w:val="0"/>
          <w:caps w:val="0"/>
          <w:color w:val="000000"/>
          <w:spacing w:val="0"/>
          <w:sz w:val="32"/>
          <w:szCs w:val="32"/>
        </w:rPr>
        <w:t>主动公开政府信息情况</w:t>
      </w:r>
    </w:p>
    <w:p>
      <w:pPr>
        <w:pStyle w:val="3"/>
        <w:keepNext w:val="0"/>
        <w:keepLines w:val="0"/>
        <w:widowControl/>
        <w:numPr>
          <w:numId w:val="0"/>
        </w:numPr>
        <w:suppressLineNumbers w:val="0"/>
        <w:spacing w:before="0" w:beforeAutospacing="0" w:line="368" w:lineRule="atLeast"/>
        <w:ind w:right="0" w:rightChars="0" w:firstLine="640" w:firstLineChars="20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鲍沟镇通过滕州市鲍沟镇政府网站、滕州市政府信息公开、鲍沟微讯等政务媒体在2023年共累计更新发布政务信息2748余篇，其中在鲍沟镇政府网站发布1289篇，通过鲍沟微讯发布信息1080条，在滕州政府网发布336件，信息公开网站主动公开政府信息数43条。信息公开网站中，通知公告24条，政策文件1条，规划计划2条，组织管理14条，公开基本目录2条。</w:t>
      </w:r>
    </w:p>
    <w:p>
      <w:pPr>
        <w:pStyle w:val="3"/>
        <w:keepNext w:val="0"/>
        <w:keepLines w:val="0"/>
        <w:widowControl/>
        <w:suppressLineNumbers w:val="0"/>
        <w:spacing w:line="368" w:lineRule="atLeast"/>
        <w:ind w:left="0" w:firstLine="0"/>
        <w:jc w:val="center"/>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drawing>
          <wp:inline distT="0" distB="0" distL="114300" distR="114300">
            <wp:extent cx="4657090" cy="2752725"/>
            <wp:effectExtent l="0" t="0" r="10160" b="9525"/>
            <wp:docPr id="3" name="图片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age.png"/>
                    <pic:cNvPicPr>
                      <a:picLocks noChangeAspect="1"/>
                    </pic:cNvPicPr>
                  </pic:nvPicPr>
                  <pic:blipFill>
                    <a:blip r:embed="rId5"/>
                    <a:stretch>
                      <a:fillRect/>
                    </a:stretch>
                  </pic:blipFill>
                  <pic:spPr>
                    <a:xfrm>
                      <a:off x="0" y="0"/>
                      <a:ext cx="4657090" cy="2752725"/>
                    </a:xfrm>
                    <a:prstGeom prst="rect">
                      <a:avLst/>
                    </a:prstGeom>
                    <a:noFill/>
                    <a:ln w="9525">
                      <a:noFill/>
                    </a:ln>
                  </pic:spPr>
                </pic:pic>
              </a:graphicData>
            </a:graphic>
          </wp:inline>
        </w:drawing>
      </w:r>
    </w:p>
    <w:p>
      <w:pPr>
        <w:pStyle w:val="3"/>
        <w:keepNext w:val="0"/>
        <w:keepLines w:val="0"/>
        <w:widowControl/>
        <w:suppressLineNumbers w:val="0"/>
        <w:spacing w:line="368" w:lineRule="atLeast"/>
        <w:ind w:left="0" w:firstLine="0"/>
        <w:jc w:val="center"/>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drawing>
          <wp:inline distT="0" distB="0" distL="114300" distR="114300">
            <wp:extent cx="4699635" cy="2367280"/>
            <wp:effectExtent l="0" t="0" r="5715" b="13970"/>
            <wp:docPr id="7" name="图片 2" descr="360截图20240108094308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360截图20240108094308119.jpg"/>
                    <pic:cNvPicPr>
                      <a:picLocks noChangeAspect="1"/>
                    </pic:cNvPicPr>
                  </pic:nvPicPr>
                  <pic:blipFill>
                    <a:blip r:embed="rId6"/>
                    <a:stretch>
                      <a:fillRect/>
                    </a:stretch>
                  </pic:blipFill>
                  <pic:spPr>
                    <a:xfrm>
                      <a:off x="0" y="0"/>
                      <a:ext cx="4699635" cy="2367280"/>
                    </a:xfrm>
                    <a:prstGeom prst="rect">
                      <a:avLst/>
                    </a:prstGeom>
                    <a:noFill/>
                    <a:ln w="9525">
                      <a:noFill/>
                    </a:ln>
                  </pic:spPr>
                </pic:pic>
              </a:graphicData>
            </a:graphic>
          </wp:inline>
        </w:drawing>
      </w:r>
    </w:p>
    <w:p>
      <w:pPr>
        <w:pStyle w:val="3"/>
        <w:keepNext w:val="0"/>
        <w:keepLines w:val="0"/>
        <w:widowControl/>
        <w:suppressLineNumbers w:val="0"/>
        <w:spacing w:line="368" w:lineRule="atLeast"/>
        <w:ind w:left="0" w:firstLine="0"/>
        <w:jc w:val="center"/>
        <w:rPr>
          <w:rFonts w:hint="eastAsia" w:ascii="仿宋" w:hAnsi="仿宋" w:eastAsia="仿宋" w:cs="仿宋"/>
          <w:i w:val="0"/>
          <w:iCs w:val="0"/>
          <w:caps w:val="0"/>
          <w:color w:val="000000"/>
          <w:spacing w:val="0"/>
          <w:sz w:val="32"/>
          <w:szCs w:val="32"/>
        </w:rPr>
      </w:pPr>
    </w:p>
    <w:p>
      <w:pPr>
        <w:pStyle w:val="3"/>
        <w:keepNext w:val="0"/>
        <w:keepLines w:val="0"/>
        <w:widowControl/>
        <w:suppressLineNumbers w:val="0"/>
        <w:spacing w:line="368" w:lineRule="atLeast"/>
        <w:ind w:left="0" w:firstLine="0"/>
        <w:jc w:val="center"/>
        <w:rPr>
          <w:rFonts w:hint="eastAsia" w:ascii="仿宋" w:hAnsi="仿宋" w:eastAsia="仿宋" w:cs="仿宋"/>
          <w:i w:val="0"/>
          <w:iCs w:val="0"/>
          <w:caps w:val="0"/>
          <w:color w:val="000000"/>
          <w:spacing w:val="0"/>
          <w:sz w:val="32"/>
          <w:szCs w:val="32"/>
        </w:rPr>
      </w:pPr>
    </w:p>
    <w:p>
      <w:pPr>
        <w:pStyle w:val="3"/>
        <w:keepNext w:val="0"/>
        <w:keepLines w:val="0"/>
        <w:widowControl/>
        <w:suppressLineNumbers w:val="0"/>
        <w:spacing w:line="368" w:lineRule="atLeast"/>
        <w:ind w:left="0" w:firstLine="0"/>
        <w:jc w:val="center"/>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drawing>
          <wp:inline distT="0" distB="0" distL="114300" distR="114300">
            <wp:extent cx="4838700" cy="2895600"/>
            <wp:effectExtent l="0" t="0" r="0" b="0"/>
            <wp:docPr id="6" name="图片 4"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age.png"/>
                    <pic:cNvPicPr>
                      <a:picLocks noChangeAspect="1"/>
                    </pic:cNvPicPr>
                  </pic:nvPicPr>
                  <pic:blipFill>
                    <a:blip r:embed="rId7"/>
                    <a:stretch>
                      <a:fillRect/>
                    </a:stretch>
                  </pic:blipFill>
                  <pic:spPr>
                    <a:xfrm>
                      <a:off x="0" y="0"/>
                      <a:ext cx="4838700" cy="2895600"/>
                    </a:xfrm>
                    <a:prstGeom prst="rect">
                      <a:avLst/>
                    </a:prstGeom>
                    <a:noFill/>
                    <a:ln w="9525">
                      <a:noFill/>
                    </a:ln>
                  </pic:spPr>
                </pic:pic>
              </a:graphicData>
            </a:graphic>
          </wp:inline>
        </w:drawing>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29"/>
        <w:jc w:val="both"/>
        <w:textAlignment w:val="auto"/>
        <w:rPr>
          <w:rFonts w:hint="eastAsia" w:ascii="楷体" w:hAnsi="楷体" w:eastAsia="楷体" w:cs="楷体"/>
          <w:i w:val="0"/>
          <w:iCs w:val="0"/>
          <w:caps w:val="0"/>
          <w:color w:val="000000"/>
          <w:spacing w:val="0"/>
          <w:sz w:val="32"/>
          <w:szCs w:val="32"/>
        </w:rPr>
      </w:pPr>
      <w:r>
        <w:rPr>
          <w:rFonts w:hint="eastAsia" w:ascii="楷体" w:hAnsi="楷体" w:eastAsia="楷体" w:cs="楷体"/>
          <w:i w:val="0"/>
          <w:iCs w:val="0"/>
          <w:caps w:val="0"/>
          <w:color w:val="000000"/>
          <w:spacing w:val="0"/>
          <w:sz w:val="32"/>
          <w:szCs w:val="32"/>
        </w:rPr>
        <w:t>（二）政府信息依申请公开情况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0" w:afterAutospacing="0" w:line="600" w:lineRule="exact"/>
        <w:ind w:left="0" w:firstLine="634"/>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2023年以来，鲍沟镇坚持“归口办理、依法有据、严谨规范、慎重稳妥”的原则，完善受理、审查、处理、答复以及保存备查等各环节流程,保证依申请公开流程科学、程序合法、答复规范，示范指引，真正提升效能、服务于民。</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2023年，鲍沟镇人民政府未收到处理依申请公开政府信息事项。本年度无因政府信息公开工作被申请行政复议、提起行政诉讼情况。</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2023年，鲍沟镇人民政府未收到处理依申请公开政府信息事项。与2022年相比，2023年数量未发生变化。</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29"/>
        <w:jc w:val="both"/>
        <w:textAlignment w:val="auto"/>
        <w:rPr>
          <w:rFonts w:hint="eastAsia" w:ascii="楷体" w:hAnsi="楷体" w:eastAsia="楷体" w:cs="楷体"/>
          <w:i w:val="0"/>
          <w:iCs w:val="0"/>
          <w:caps w:val="0"/>
          <w:color w:val="000000"/>
          <w:spacing w:val="0"/>
          <w:sz w:val="32"/>
          <w:szCs w:val="32"/>
        </w:rPr>
      </w:pPr>
      <w:r>
        <w:rPr>
          <w:rFonts w:hint="eastAsia" w:ascii="楷体" w:hAnsi="楷体" w:eastAsia="楷体" w:cs="楷体"/>
          <w:i w:val="0"/>
          <w:iCs w:val="0"/>
          <w:caps w:val="0"/>
          <w:color w:val="000000"/>
          <w:spacing w:val="0"/>
          <w:sz w:val="32"/>
          <w:szCs w:val="32"/>
        </w:rPr>
        <w:t>（三）政府信息管理情况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firstLine="634"/>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b w:val="0"/>
          <w:bCs w:val="0"/>
          <w:i w:val="0"/>
          <w:iCs w:val="0"/>
          <w:caps w:val="0"/>
          <w:color w:val="000000"/>
          <w:spacing w:val="0"/>
          <w:sz w:val="32"/>
          <w:szCs w:val="32"/>
          <w:shd w:val="clear" w:fill="FFFFFF"/>
        </w:rPr>
        <w:t>依据《中华人民共和国政府信息公开条例》及各级政府信息公开有关文件要求，结合本单位实际，制定完善了《滕州市鲍沟镇人民政府信息公开指南》、《滕州市鲍沟镇人民政府信息主动公开基本目录》、《滕州市鲍沟镇人民政府基层政务公开标准目录》，明确了政府信息公开的工作内容、形式和公开、受理、回复的反馈机制，建立健全政府信息公开申请、受理、答复等各环节制度规范，对所公开事项内容进行审核、把关‘不断规范政府信息主动公开工作机制、政府信息公开申请的受理机制和政府信息发布、保密、审查制度等。信息公开严格遵循“谁公开谁审查、谁审查谁负责”和“先审查、后公开”的原则，指定专人负责，确保公开信息内容真实、准确、合法、合规，并全力做好需公开政府信息的保密审查工作，在实践中不断深化和完善政务公开工作制度，确保政务公开工作稳定健康发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29"/>
        <w:jc w:val="both"/>
        <w:textAlignment w:val="auto"/>
        <w:rPr>
          <w:rFonts w:hint="eastAsia" w:ascii="楷体" w:hAnsi="楷体" w:eastAsia="楷体" w:cs="楷体"/>
          <w:i w:val="0"/>
          <w:iCs w:val="0"/>
          <w:caps w:val="0"/>
          <w:color w:val="000000"/>
          <w:spacing w:val="0"/>
          <w:sz w:val="32"/>
          <w:szCs w:val="32"/>
        </w:rPr>
      </w:pPr>
      <w:r>
        <w:rPr>
          <w:rFonts w:hint="eastAsia" w:ascii="楷体" w:hAnsi="楷体" w:eastAsia="楷体" w:cs="楷体"/>
          <w:i w:val="0"/>
          <w:iCs w:val="0"/>
          <w:caps w:val="0"/>
          <w:color w:val="000000"/>
          <w:spacing w:val="0"/>
          <w:sz w:val="32"/>
          <w:szCs w:val="32"/>
        </w:rPr>
        <w:t>（四）政府信息公开平台建设情况</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default" w:ascii="仿宋" w:hAnsi="仿宋" w:eastAsia="仿宋" w:cs="仿宋"/>
          <w:i w:val="0"/>
          <w:iCs w:val="0"/>
          <w:caps w:val="0"/>
          <w:color w:val="FF0000"/>
          <w:spacing w:val="0"/>
          <w:sz w:val="32"/>
          <w:szCs w:val="32"/>
          <w:highlight w:val="yellow"/>
          <w:lang w:val="en-US" w:eastAsia="zh-CN"/>
        </w:rPr>
      </w:pPr>
      <w:r>
        <w:rPr>
          <w:rFonts w:hint="eastAsia" w:ascii="仿宋" w:hAnsi="仿宋" w:eastAsia="仿宋" w:cs="仿宋"/>
          <w:i w:val="0"/>
          <w:iCs w:val="0"/>
          <w:caps w:val="0"/>
          <w:color w:val="000000"/>
          <w:spacing w:val="0"/>
          <w:sz w:val="32"/>
          <w:szCs w:val="32"/>
        </w:rPr>
        <w:t>2023年，鲍沟镇安排专人负责信息上传，扎实做好信息上传维护工作。鲍沟镇人民政府门户网站是我镇对外宣传的第一平台，以鲍沟微讯公众号（bgzrmzf）政务新媒体、报刊、广播、电视等公众媒体为群众答疑释惑，通过平台收集社情民意，及时回答并解决公众关心的热点、难点、焦点问题，增强了公众对政府的信任度。另外，通过组织政府开放日活动，增强干部群众的鱼水之情，让群众了解政府办公流程，提升群众的参政议政能力，同时，规范了政府文件的发布标准、程序、格式等事项，按照滕州市政府信息平台建设标准，我镇完善了政府信息公开制度，开展了信息平台规范化建设，建立了信息审核制度，加强对局网站、信息公开网等各类门户政务网站信息的审核把关。</w:t>
      </w:r>
    </w:p>
    <w:p>
      <w:pPr>
        <w:pStyle w:val="3"/>
        <w:keepNext w:val="0"/>
        <w:keepLines w:val="0"/>
        <w:widowControl/>
        <w:suppressLineNumbers w:val="0"/>
        <w:spacing w:line="368" w:lineRule="atLeast"/>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drawing>
          <wp:inline distT="0" distB="0" distL="114300" distR="114300">
            <wp:extent cx="2520950" cy="4312920"/>
            <wp:effectExtent l="0" t="0" r="12700" b="11430"/>
            <wp:docPr id="1" name="图片 5" descr="0736a892c780798f40636afbfdde7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0736a892c780798f40636afbfdde7ca.jpg"/>
                    <pic:cNvPicPr>
                      <a:picLocks noChangeAspect="1"/>
                    </pic:cNvPicPr>
                  </pic:nvPicPr>
                  <pic:blipFill>
                    <a:blip r:embed="rId8"/>
                    <a:stretch>
                      <a:fillRect/>
                    </a:stretch>
                  </pic:blipFill>
                  <pic:spPr>
                    <a:xfrm>
                      <a:off x="0" y="0"/>
                      <a:ext cx="2520950" cy="4312920"/>
                    </a:xfrm>
                    <a:prstGeom prst="rect">
                      <a:avLst/>
                    </a:prstGeom>
                    <a:noFill/>
                    <a:ln w="9525">
                      <a:noFill/>
                    </a:ln>
                  </pic:spPr>
                </pic:pic>
              </a:graphicData>
            </a:graphic>
          </wp:inline>
        </w:drawing>
      </w:r>
      <w:r>
        <w:rPr>
          <w:rFonts w:hint="eastAsia" w:ascii="仿宋" w:hAnsi="仿宋" w:eastAsia="仿宋" w:cs="仿宋"/>
          <w:i w:val="0"/>
          <w:iCs w:val="0"/>
          <w:caps w:val="0"/>
          <w:color w:val="000000"/>
          <w:spacing w:val="0"/>
          <w:sz w:val="32"/>
          <w:szCs w:val="32"/>
        </w:rPr>
        <w:drawing>
          <wp:inline distT="0" distB="0" distL="114300" distR="114300">
            <wp:extent cx="2628265" cy="4320540"/>
            <wp:effectExtent l="0" t="0" r="635" b="3810"/>
            <wp:docPr id="10" name="图片 10" descr="5ad6b65a12f060c2793e6f879b8fe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ad6b65a12f060c2793e6f879b8fe2d"/>
                    <pic:cNvPicPr>
                      <a:picLocks noChangeAspect="1"/>
                    </pic:cNvPicPr>
                  </pic:nvPicPr>
                  <pic:blipFill>
                    <a:blip r:embed="rId9"/>
                    <a:stretch>
                      <a:fillRect/>
                    </a:stretch>
                  </pic:blipFill>
                  <pic:spPr>
                    <a:xfrm>
                      <a:off x="0" y="0"/>
                      <a:ext cx="2628265" cy="4320540"/>
                    </a:xfrm>
                    <a:prstGeom prst="rect">
                      <a:avLst/>
                    </a:prstGeom>
                  </pic:spPr>
                </pic:pic>
              </a:graphicData>
            </a:graphic>
          </wp:inline>
        </w:drawing>
      </w:r>
      <w:r>
        <w:rPr>
          <w:rFonts w:hint="eastAsia" w:ascii="仿宋" w:hAnsi="仿宋" w:eastAsia="仿宋" w:cs="仿宋"/>
          <w:i w:val="0"/>
          <w:iCs w:val="0"/>
          <w:caps w:val="0"/>
          <w:color w:val="000000"/>
          <w:spacing w:val="0"/>
          <w:sz w:val="32"/>
          <w:szCs w:val="32"/>
        </w:rPr>
        <w:t>       </w:t>
      </w:r>
    </w:p>
    <w:p>
      <w:pPr>
        <w:pStyle w:val="3"/>
        <w:keepNext w:val="0"/>
        <w:keepLines w:val="0"/>
        <w:widowControl/>
        <w:numPr>
          <w:ilvl w:val="0"/>
          <w:numId w:val="2"/>
        </w:numPr>
        <w:suppressLineNumbers w:val="0"/>
        <w:spacing w:line="368" w:lineRule="atLeast"/>
        <w:ind w:left="420" w:leftChars="0" w:hanging="420" w:firstLineChars="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  </w:t>
      </w:r>
      <w:r>
        <w:rPr>
          <w:rFonts w:hint="eastAsia" w:ascii="仿宋" w:hAnsi="仿宋" w:eastAsia="仿宋" w:cs="仿宋"/>
          <w:i w:val="0"/>
          <w:iCs w:val="0"/>
          <w:caps w:val="0"/>
          <w:color w:val="000000"/>
          <w:spacing w:val="0"/>
          <w:sz w:val="32"/>
          <w:szCs w:val="32"/>
        </w:rPr>
        <w:drawing>
          <wp:inline distT="0" distB="0" distL="114300" distR="114300">
            <wp:extent cx="4883785" cy="3765550"/>
            <wp:effectExtent l="0" t="0" r="0" b="0"/>
            <wp:docPr id="5" name="图片 7" descr="968629ba917823a4bc0c675564687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968629ba917823a4bc0c675564687a6.jpg"/>
                    <pic:cNvPicPr>
                      <a:picLocks noChangeAspect="1"/>
                    </pic:cNvPicPr>
                  </pic:nvPicPr>
                  <pic:blipFill>
                    <a:blip r:embed="rId10"/>
                    <a:srcRect t="22897"/>
                    <a:stretch>
                      <a:fillRect/>
                    </a:stretch>
                  </pic:blipFill>
                  <pic:spPr>
                    <a:xfrm>
                      <a:off x="0" y="0"/>
                      <a:ext cx="4883785" cy="3765550"/>
                    </a:xfrm>
                    <a:prstGeom prst="rect">
                      <a:avLst/>
                    </a:prstGeom>
                    <a:noFill/>
                    <a:ln w="9525">
                      <a:noFill/>
                    </a:ln>
                  </pic:spPr>
                </pic:pic>
              </a:graphicData>
            </a:graphic>
          </wp:inline>
        </w:drawing>
      </w:r>
      <w:r>
        <w:rPr>
          <w:rFonts w:hint="eastAsia" w:ascii="仿宋" w:hAnsi="仿宋" w:eastAsia="仿宋" w:cs="仿宋"/>
          <w:i w:val="0"/>
          <w:iCs w:val="0"/>
          <w:caps w:val="0"/>
          <w:color w:val="000000"/>
          <w:spacing w:val="0"/>
          <w:sz w:val="32"/>
          <w:szCs w:val="32"/>
        </w:rPr>
        <w:t>    </w:t>
      </w:r>
      <w:r>
        <w:rPr>
          <w:rFonts w:hint="eastAsia" w:ascii="仿宋" w:hAnsi="仿宋" w:eastAsia="仿宋" w:cs="仿宋"/>
          <w:i w:val="0"/>
          <w:iCs w:val="0"/>
          <w:caps w:val="0"/>
          <w:color w:val="000000"/>
          <w:spacing w:val="0"/>
          <w:sz w:val="32"/>
          <w:szCs w:val="32"/>
        </w:rPr>
        <w:drawing>
          <wp:inline distT="0" distB="0" distL="114300" distR="114300">
            <wp:extent cx="4848860" cy="4370070"/>
            <wp:effectExtent l="0" t="0" r="8890" b="11430"/>
            <wp:docPr id="4" name="图片 8" descr="62774bb0fcdd09766daf12f3e7fbb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descr="62774bb0fcdd09766daf12f3e7fbbad.jpg"/>
                    <pic:cNvPicPr>
                      <a:picLocks noChangeAspect="1"/>
                    </pic:cNvPicPr>
                  </pic:nvPicPr>
                  <pic:blipFill>
                    <a:blip r:embed="rId11"/>
                    <a:stretch>
                      <a:fillRect/>
                    </a:stretch>
                  </pic:blipFill>
                  <pic:spPr>
                    <a:xfrm flipH="1">
                      <a:off x="0" y="0"/>
                      <a:ext cx="4848860" cy="4370070"/>
                    </a:xfrm>
                    <a:prstGeom prst="rect">
                      <a:avLst/>
                    </a:prstGeom>
                    <a:noFill/>
                    <a:ln w="9525">
                      <a:noFill/>
                    </a:ln>
                  </pic:spPr>
                </pic:pic>
              </a:graphicData>
            </a:graphic>
          </wp:inline>
        </w:drawing>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 w:hAnsi="仿宋" w:eastAsia="仿宋" w:cs="仿宋"/>
          <w:i w:val="0"/>
          <w:iCs w:val="0"/>
          <w:caps w:val="0"/>
          <w:color w:val="000000"/>
          <w:spacing w:val="0"/>
          <w:sz w:val="32"/>
          <w:szCs w:val="32"/>
        </w:rPr>
      </w:pPr>
      <w:r>
        <w:rPr>
          <w:rFonts w:hint="eastAsia" w:ascii="楷体" w:hAnsi="楷体" w:eastAsia="楷体" w:cs="楷体"/>
          <w:i w:val="0"/>
          <w:iCs w:val="0"/>
          <w:caps w:val="0"/>
          <w:color w:val="000000"/>
          <w:spacing w:val="0"/>
          <w:sz w:val="32"/>
          <w:szCs w:val="32"/>
        </w:rPr>
        <w:t>（五）监督保障情况  </w:t>
      </w:r>
      <w:r>
        <w:rPr>
          <w:rFonts w:hint="eastAsia" w:ascii="仿宋" w:hAnsi="仿宋" w:eastAsia="仿宋" w:cs="仿宋"/>
          <w:i w:val="0"/>
          <w:iCs w:val="0"/>
          <w:caps w:val="0"/>
          <w:color w:val="000000"/>
          <w:spacing w:val="0"/>
          <w:sz w:val="32"/>
          <w:szCs w:val="32"/>
        </w:rPr>
        <w:t>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健全制度，落实责任。鲍沟镇结合工作实际，按全省、市政府信息公开工作要求，进一步细化政府信息公开相关制度和工作措施。明确政务公开信息发布员，切实履行本镇政府信息公开的指导协调和督促检查职责。建立健全政府信息上报制度、政府信息审核制度、政府信息公开保密审查制度。落实保密审查责任，规范审查程序。 扎实做好信息公开各项保障工作，严格信息发布流程，推进和规范政府信息公开工作。2023年按照培训计划全年共进行3次政府信息公开相关业务的培训；无违反规定和失泄密情况。2023年滕州市镇街政务公开工作考核，未进行社会评议，未发生责任追究情况。</w:t>
      </w:r>
      <w:r>
        <w:rPr>
          <w:rFonts w:hint="eastAsia" w:ascii="仿宋" w:hAnsi="仿宋" w:eastAsia="仿宋" w:cs="仿宋"/>
          <w:i w:val="0"/>
          <w:iCs w:val="0"/>
          <w:caps w:val="0"/>
          <w:color w:val="000000"/>
          <w:spacing w:val="0"/>
          <w:sz w:val="32"/>
          <w:szCs w:val="32"/>
        </w:rPr>
        <w:t>​</w:t>
      </w:r>
    </w:p>
    <w:p>
      <w:pPr>
        <w:pStyle w:val="3"/>
        <w:keepNext w:val="0"/>
        <w:keepLines w:val="0"/>
        <w:widowControl/>
        <w:suppressLineNumbers w:val="0"/>
        <w:spacing w:line="368" w:lineRule="atLeast"/>
        <w:ind w:left="0" w:firstLine="630"/>
        <w:jc w:val="both"/>
        <w:rPr>
          <w:rFonts w:hint="eastAsia" w:ascii="黑体" w:hAnsi="黑体" w:eastAsia="黑体" w:cs="黑体"/>
          <w:i w:val="0"/>
          <w:iCs w:val="0"/>
          <w:caps w:val="0"/>
          <w:color w:val="000000"/>
          <w:spacing w:val="0"/>
          <w:sz w:val="32"/>
          <w:szCs w:val="32"/>
        </w:rPr>
      </w:pPr>
      <w:r>
        <w:rPr>
          <w:rStyle w:val="6"/>
          <w:rFonts w:hint="eastAsia" w:ascii="黑体" w:hAnsi="黑体" w:eastAsia="黑体" w:cs="黑体"/>
          <w:i w:val="0"/>
          <w:iCs w:val="0"/>
          <w:caps w:val="0"/>
          <w:color w:val="000000"/>
          <w:spacing w:val="0"/>
          <w:sz w:val="32"/>
          <w:szCs w:val="32"/>
        </w:rPr>
        <w:t>二、主动公开政府信息情况</w:t>
      </w:r>
    </w:p>
    <w:tbl>
      <w:tblPr>
        <w:tblStyle w:val="4"/>
        <w:tblW w:w="9532" w:type="dxa"/>
        <w:tblInd w:w="-515" w:type="dxa"/>
        <w:tblLayout w:type="fixed"/>
        <w:tblCellMar>
          <w:top w:w="0" w:type="dxa"/>
          <w:left w:w="108" w:type="dxa"/>
          <w:bottom w:w="0" w:type="dxa"/>
          <w:right w:w="108" w:type="dxa"/>
        </w:tblCellMar>
      </w:tblPr>
      <w:tblGrid>
        <w:gridCol w:w="2721"/>
        <w:gridCol w:w="2206"/>
        <w:gridCol w:w="2206"/>
        <w:gridCol w:w="2399"/>
      </w:tblGrid>
      <w:tr>
        <w:tblPrEx>
          <w:tblCellMar>
            <w:top w:w="0" w:type="dxa"/>
            <w:left w:w="108" w:type="dxa"/>
            <w:bottom w:w="0" w:type="dxa"/>
            <w:right w:w="108" w:type="dxa"/>
          </w:tblCellMar>
        </w:tblPrEx>
        <w:trPr>
          <w:trHeight w:val="567" w:hRule="atLeast"/>
        </w:trPr>
        <w:tc>
          <w:tcPr>
            <w:tcW w:w="9532"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第二十条第（一）项</w:t>
            </w:r>
          </w:p>
        </w:tc>
      </w:tr>
      <w:tr>
        <w:tblPrEx>
          <w:tblCellMar>
            <w:top w:w="0" w:type="dxa"/>
            <w:left w:w="108" w:type="dxa"/>
            <w:bottom w:w="0" w:type="dxa"/>
            <w:right w:w="108" w:type="dxa"/>
          </w:tblCellMar>
        </w:tblPrEx>
        <w:trPr>
          <w:trHeight w:val="567" w:hRule="atLeast"/>
        </w:trPr>
        <w:tc>
          <w:tcPr>
            <w:tcW w:w="2721"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本年制发件数</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本年废止件数</w:t>
            </w:r>
          </w:p>
        </w:tc>
        <w:tc>
          <w:tcPr>
            <w:tcW w:w="2399"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现行有效件数</w:t>
            </w:r>
          </w:p>
        </w:tc>
      </w:tr>
      <w:tr>
        <w:tblPrEx>
          <w:tblCellMar>
            <w:top w:w="0" w:type="dxa"/>
            <w:left w:w="108" w:type="dxa"/>
            <w:bottom w:w="0" w:type="dxa"/>
            <w:right w:w="108" w:type="dxa"/>
          </w:tblCellMar>
        </w:tblPrEx>
        <w:trPr>
          <w:trHeight w:val="567" w:hRule="atLeast"/>
        </w:trPr>
        <w:tc>
          <w:tcPr>
            <w:tcW w:w="2721"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规章</w:t>
            </w:r>
          </w:p>
        </w:tc>
        <w:tc>
          <w:tcPr>
            <w:tcW w:w="2206" w:type="dxa"/>
            <w:tcBorders>
              <w:top w:val="nil"/>
              <w:left w:val="nil"/>
              <w:bottom w:val="single" w:color="auto" w:sz="8" w:space="0"/>
              <w:right w:val="single" w:color="auto" w:sz="8" w:space="0"/>
            </w:tcBorders>
            <w:noWrap w:val="0"/>
            <w:vAlign w:val="center"/>
          </w:tcPr>
          <w:p>
            <w:pPr>
              <w:widowControl/>
              <w:jc w:val="center"/>
              <w:rPr>
                <w:rFonts w:hint="eastAsia" w:ascii="仿宋_GB2312" w:hAnsi="宋体" w:eastAsia="仿宋_GB2312" w:cs="宋体"/>
                <w:color w:val="000000"/>
                <w:kern w:val="0"/>
                <w:szCs w:val="21"/>
                <w:lang w:eastAsia="zh-CN"/>
              </w:rPr>
            </w:pP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lang w:val="en-US" w:eastAsia="zh-CN"/>
              </w:rPr>
              <w:t>0</w:t>
            </w:r>
          </w:p>
        </w:tc>
        <w:tc>
          <w:tcPr>
            <w:tcW w:w="2399" w:type="dxa"/>
            <w:tcBorders>
              <w:top w:val="nil"/>
              <w:left w:val="nil"/>
              <w:bottom w:val="single" w:color="auto" w:sz="8" w:space="0"/>
              <w:right w:val="single" w:color="auto" w:sz="8" w:space="0"/>
            </w:tcBorders>
            <w:noWrap w:val="0"/>
            <w:vAlign w:val="center"/>
          </w:tcPr>
          <w:p>
            <w:pPr>
              <w:widowControl/>
              <w:jc w:val="center"/>
              <w:rPr>
                <w:rFonts w:ascii="仿宋_GB2312" w:hAnsi="Calibri" w:eastAsia="仿宋_GB2312" w:cs="Calibri"/>
                <w:color w:val="000000"/>
                <w:kern w:val="0"/>
                <w:szCs w:val="21"/>
              </w:rPr>
            </w:pPr>
            <w:r>
              <w:rPr>
                <w:rFonts w:hint="eastAsia" w:ascii="仿宋_GB2312" w:hAnsi="宋体" w:eastAsia="仿宋_GB2312" w:cs="宋体"/>
                <w:color w:val="000000"/>
                <w:kern w:val="0"/>
                <w:szCs w:val="21"/>
                <w:lang w:val="en-US" w:eastAsia="zh-CN"/>
              </w:rPr>
              <w:t>0</w:t>
            </w:r>
          </w:p>
        </w:tc>
      </w:tr>
      <w:tr>
        <w:tblPrEx>
          <w:tblCellMar>
            <w:top w:w="0" w:type="dxa"/>
            <w:left w:w="108" w:type="dxa"/>
            <w:bottom w:w="0" w:type="dxa"/>
            <w:right w:w="108" w:type="dxa"/>
          </w:tblCellMar>
        </w:tblPrEx>
        <w:trPr>
          <w:trHeight w:val="567" w:hRule="atLeast"/>
        </w:trPr>
        <w:tc>
          <w:tcPr>
            <w:tcW w:w="2721"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行政规范性文件</w:t>
            </w:r>
          </w:p>
        </w:tc>
        <w:tc>
          <w:tcPr>
            <w:tcW w:w="2206" w:type="dxa"/>
            <w:tcBorders>
              <w:top w:val="nil"/>
              <w:left w:val="nil"/>
              <w:bottom w:val="single" w:color="auto" w:sz="8" w:space="0"/>
              <w:right w:val="single" w:color="auto" w:sz="8" w:space="0"/>
            </w:tcBorders>
            <w:noWrap w:val="0"/>
            <w:vAlign w:val="center"/>
          </w:tcPr>
          <w:p>
            <w:pPr>
              <w:widowControl/>
              <w:jc w:val="center"/>
              <w:rPr>
                <w:rFonts w:hint="eastAsia" w:ascii="仿宋_GB2312" w:hAnsi="宋体" w:eastAsia="仿宋_GB2312" w:cs="宋体"/>
                <w:color w:val="000000"/>
                <w:kern w:val="0"/>
                <w:szCs w:val="21"/>
                <w:lang w:eastAsia="zh-CN"/>
              </w:rPr>
            </w:pP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center"/>
              <w:rPr>
                <w:rFonts w:hint="eastAsia" w:ascii="仿宋_GB2312" w:hAnsi="宋体" w:eastAsia="仿宋_GB2312" w:cs="宋体"/>
                <w:color w:val="000000"/>
                <w:kern w:val="0"/>
                <w:szCs w:val="21"/>
                <w:lang w:eastAsia="zh-CN"/>
              </w:rPr>
            </w:pPr>
            <w:r>
              <w:rPr>
                <w:rFonts w:hint="eastAsia" w:ascii="仿宋_GB2312" w:hAnsi="宋体" w:eastAsia="仿宋_GB2312" w:cs="宋体"/>
                <w:color w:val="000000"/>
                <w:kern w:val="0"/>
                <w:szCs w:val="21"/>
                <w:lang w:val="en-US" w:eastAsia="zh-CN"/>
              </w:rPr>
              <w:t>0</w:t>
            </w:r>
          </w:p>
        </w:tc>
        <w:tc>
          <w:tcPr>
            <w:tcW w:w="2399" w:type="dxa"/>
            <w:tcBorders>
              <w:top w:val="nil"/>
              <w:left w:val="nil"/>
              <w:bottom w:val="single" w:color="auto" w:sz="8" w:space="0"/>
              <w:right w:val="single" w:color="auto" w:sz="8" w:space="0"/>
            </w:tcBorders>
            <w:noWrap w:val="0"/>
            <w:vAlign w:val="center"/>
          </w:tcPr>
          <w:p>
            <w:pPr>
              <w:widowControl/>
              <w:jc w:val="center"/>
              <w:rPr>
                <w:rFonts w:hint="default"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r>
      <w:tr>
        <w:tblPrEx>
          <w:tblCellMar>
            <w:top w:w="0" w:type="dxa"/>
            <w:left w:w="108" w:type="dxa"/>
            <w:bottom w:w="0" w:type="dxa"/>
            <w:right w:w="108" w:type="dxa"/>
          </w:tblCellMar>
        </w:tblPrEx>
        <w:trPr>
          <w:trHeight w:val="567" w:hRule="atLeast"/>
        </w:trPr>
        <w:tc>
          <w:tcPr>
            <w:tcW w:w="9532"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第二十条第（五）项</w:t>
            </w:r>
          </w:p>
        </w:tc>
      </w:tr>
      <w:tr>
        <w:tblPrEx>
          <w:tblCellMar>
            <w:top w:w="0" w:type="dxa"/>
            <w:left w:w="108" w:type="dxa"/>
            <w:bottom w:w="0" w:type="dxa"/>
            <w:right w:w="108" w:type="dxa"/>
          </w:tblCellMar>
        </w:tblPrEx>
        <w:trPr>
          <w:trHeight w:val="567" w:hRule="atLeast"/>
        </w:trPr>
        <w:tc>
          <w:tcPr>
            <w:tcW w:w="2721"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811"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tblPrEx>
          <w:tblCellMar>
            <w:top w:w="0" w:type="dxa"/>
            <w:left w:w="108" w:type="dxa"/>
            <w:bottom w:w="0" w:type="dxa"/>
            <w:right w:w="108" w:type="dxa"/>
          </w:tblCellMar>
        </w:tblPrEx>
        <w:trPr>
          <w:trHeight w:val="567" w:hRule="atLeast"/>
        </w:trPr>
        <w:tc>
          <w:tcPr>
            <w:tcW w:w="2721"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行政许可</w:t>
            </w:r>
          </w:p>
        </w:tc>
        <w:tc>
          <w:tcPr>
            <w:tcW w:w="6811"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Calibri" w:eastAsia="仿宋_GB2312" w:cs="Calibri"/>
                <w:color w:val="000000"/>
                <w:kern w:val="0"/>
                <w:szCs w:val="21"/>
                <w:lang w:val="en-US" w:eastAsia="zh-CN"/>
              </w:rPr>
            </w:pPr>
            <w:r>
              <w:rPr>
                <w:rFonts w:hint="eastAsia" w:ascii="仿宋_GB2312" w:hAnsi="Calibri" w:eastAsia="仿宋_GB2312" w:cs="Calibri"/>
                <w:color w:val="auto"/>
                <w:kern w:val="0"/>
                <w:szCs w:val="21"/>
                <w:lang w:val="en-US" w:eastAsia="zh-CN"/>
              </w:rPr>
              <w:t>0</w:t>
            </w:r>
          </w:p>
        </w:tc>
      </w:tr>
      <w:tr>
        <w:tblPrEx>
          <w:tblCellMar>
            <w:top w:w="0" w:type="dxa"/>
            <w:left w:w="108" w:type="dxa"/>
            <w:bottom w:w="0" w:type="dxa"/>
            <w:right w:w="108" w:type="dxa"/>
          </w:tblCellMar>
        </w:tblPrEx>
        <w:trPr>
          <w:trHeight w:val="567" w:hRule="atLeast"/>
        </w:trPr>
        <w:tc>
          <w:tcPr>
            <w:tcW w:w="9532"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第二十条第（六）项</w:t>
            </w:r>
          </w:p>
        </w:tc>
      </w:tr>
      <w:tr>
        <w:tblPrEx>
          <w:tblCellMar>
            <w:top w:w="0" w:type="dxa"/>
            <w:left w:w="108" w:type="dxa"/>
            <w:bottom w:w="0" w:type="dxa"/>
            <w:right w:w="108" w:type="dxa"/>
          </w:tblCellMar>
        </w:tblPrEx>
        <w:trPr>
          <w:trHeight w:val="567" w:hRule="atLeast"/>
        </w:trPr>
        <w:tc>
          <w:tcPr>
            <w:tcW w:w="2721"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811"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tblPrEx>
          <w:tblCellMar>
            <w:top w:w="0" w:type="dxa"/>
            <w:left w:w="108" w:type="dxa"/>
            <w:bottom w:w="0" w:type="dxa"/>
            <w:right w:w="108" w:type="dxa"/>
          </w:tblCellMar>
        </w:tblPrEx>
        <w:trPr>
          <w:trHeight w:val="567" w:hRule="atLeast"/>
        </w:trPr>
        <w:tc>
          <w:tcPr>
            <w:tcW w:w="2721"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行政处罚</w:t>
            </w:r>
          </w:p>
        </w:tc>
        <w:tc>
          <w:tcPr>
            <w:tcW w:w="6811"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default" w:ascii="仿宋_GB2312" w:hAnsi="Calibri" w:eastAsia="仿宋_GB2312" w:cs="Calibri"/>
                <w:color w:val="000000"/>
                <w:kern w:val="0"/>
                <w:szCs w:val="21"/>
                <w:lang w:val="en-US" w:eastAsia="zh-CN"/>
              </w:rPr>
            </w:pPr>
            <w:r>
              <w:rPr>
                <w:rFonts w:hint="eastAsia" w:ascii="仿宋_GB2312" w:hAnsi="Calibri" w:eastAsia="仿宋_GB2312" w:cs="Calibri"/>
                <w:color w:val="000000"/>
                <w:kern w:val="0"/>
                <w:szCs w:val="21"/>
                <w:lang w:val="en-US" w:eastAsia="zh-CN"/>
              </w:rPr>
              <w:t>0</w:t>
            </w:r>
          </w:p>
        </w:tc>
      </w:tr>
      <w:tr>
        <w:tblPrEx>
          <w:tblCellMar>
            <w:top w:w="0" w:type="dxa"/>
            <w:left w:w="108" w:type="dxa"/>
            <w:bottom w:w="0" w:type="dxa"/>
            <w:right w:w="108" w:type="dxa"/>
          </w:tblCellMar>
        </w:tblPrEx>
        <w:trPr>
          <w:trHeight w:val="567" w:hRule="atLeast"/>
        </w:trPr>
        <w:tc>
          <w:tcPr>
            <w:tcW w:w="2721"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行政强制</w:t>
            </w:r>
          </w:p>
        </w:tc>
        <w:tc>
          <w:tcPr>
            <w:tcW w:w="6811"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Calibri" w:eastAsia="仿宋_GB2312" w:cs="Calibri"/>
                <w:color w:val="000000"/>
                <w:kern w:val="0"/>
                <w:szCs w:val="21"/>
                <w:lang w:eastAsia="zh-CN"/>
              </w:rPr>
            </w:pPr>
            <w:r>
              <w:rPr>
                <w:rFonts w:hint="eastAsia" w:ascii="仿宋_GB2312" w:hAnsi="Calibri" w:eastAsia="仿宋_GB2312" w:cs="Calibri"/>
                <w:color w:val="000000"/>
                <w:kern w:val="0"/>
                <w:szCs w:val="21"/>
                <w:lang w:val="en-US" w:eastAsia="zh-CN"/>
              </w:rPr>
              <w:t>0</w:t>
            </w:r>
          </w:p>
        </w:tc>
      </w:tr>
      <w:tr>
        <w:tblPrEx>
          <w:tblCellMar>
            <w:top w:w="0" w:type="dxa"/>
            <w:left w:w="108" w:type="dxa"/>
            <w:bottom w:w="0" w:type="dxa"/>
            <w:right w:w="108" w:type="dxa"/>
          </w:tblCellMar>
        </w:tblPrEx>
        <w:trPr>
          <w:trHeight w:val="567" w:hRule="atLeast"/>
        </w:trPr>
        <w:tc>
          <w:tcPr>
            <w:tcW w:w="9532"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第二十条第（八）项</w:t>
            </w:r>
          </w:p>
        </w:tc>
      </w:tr>
      <w:tr>
        <w:tblPrEx>
          <w:tblCellMar>
            <w:top w:w="0" w:type="dxa"/>
            <w:left w:w="108" w:type="dxa"/>
            <w:bottom w:w="0" w:type="dxa"/>
            <w:right w:w="108" w:type="dxa"/>
          </w:tblCellMar>
        </w:tblPrEx>
        <w:trPr>
          <w:trHeight w:val="567" w:hRule="atLeast"/>
        </w:trPr>
        <w:tc>
          <w:tcPr>
            <w:tcW w:w="2721"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811"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本年收费金额（单位：万元）</w:t>
            </w:r>
          </w:p>
        </w:tc>
      </w:tr>
      <w:tr>
        <w:tblPrEx>
          <w:tblCellMar>
            <w:top w:w="0" w:type="dxa"/>
            <w:left w:w="108" w:type="dxa"/>
            <w:bottom w:w="0" w:type="dxa"/>
            <w:right w:w="108" w:type="dxa"/>
          </w:tblCellMar>
        </w:tblPrEx>
        <w:trPr>
          <w:trHeight w:val="567" w:hRule="atLeast"/>
        </w:trPr>
        <w:tc>
          <w:tcPr>
            <w:tcW w:w="2721"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行政事业性收费</w:t>
            </w:r>
          </w:p>
        </w:tc>
        <w:tc>
          <w:tcPr>
            <w:tcW w:w="6811"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Calibri" w:eastAsia="仿宋_GB2312" w:cs="Calibri"/>
                <w:color w:val="000000"/>
                <w:kern w:val="0"/>
                <w:szCs w:val="21"/>
                <w:lang w:eastAsia="zh-CN"/>
              </w:rPr>
            </w:pPr>
            <w:r>
              <w:rPr>
                <w:rFonts w:hint="eastAsia" w:ascii="仿宋_GB2312" w:hAnsi="Calibri" w:eastAsia="仿宋_GB2312" w:cs="Calibri"/>
                <w:color w:val="000000"/>
                <w:kern w:val="0"/>
                <w:szCs w:val="21"/>
                <w:lang w:val="en-US" w:eastAsia="zh-CN"/>
              </w:rPr>
              <w:t>0</w:t>
            </w:r>
          </w:p>
        </w:tc>
      </w:tr>
    </w:tbl>
    <w:p>
      <w:pPr>
        <w:pStyle w:val="3"/>
        <w:keepNext w:val="0"/>
        <w:keepLines w:val="0"/>
        <w:widowControl/>
        <w:suppressLineNumbers w:val="0"/>
        <w:spacing w:line="368" w:lineRule="atLeast"/>
        <w:ind w:left="0" w:firstLine="0"/>
        <w:jc w:val="both"/>
        <w:rPr>
          <w:rFonts w:hint="eastAsia" w:ascii="仿宋" w:hAnsi="仿宋" w:eastAsia="仿宋" w:cs="仿宋"/>
          <w:i w:val="0"/>
          <w:iCs w:val="0"/>
          <w:caps w:val="0"/>
          <w:color w:val="000000"/>
          <w:spacing w:val="0"/>
          <w:sz w:val="32"/>
          <w:szCs w:val="32"/>
        </w:rPr>
      </w:pPr>
      <w:r>
        <w:rPr>
          <w:rStyle w:val="6"/>
          <w:rFonts w:hint="eastAsia" w:ascii="仿宋" w:hAnsi="仿宋" w:eastAsia="仿宋" w:cs="仿宋"/>
          <w:i w:val="0"/>
          <w:iCs w:val="0"/>
          <w:caps w:val="0"/>
          <w:color w:val="000000"/>
          <w:spacing w:val="0"/>
          <w:sz w:val="32"/>
          <w:szCs w:val="32"/>
          <w:shd w:val="clear" w:fill="FFFFFF"/>
        </w:rPr>
        <w:t>   </w:t>
      </w:r>
      <w:r>
        <w:rPr>
          <w:rStyle w:val="6"/>
          <w:rFonts w:hint="eastAsia" w:ascii="黑体" w:hAnsi="黑体" w:eastAsia="黑体" w:cs="黑体"/>
          <w:b w:val="0"/>
          <w:bCs/>
          <w:i w:val="0"/>
          <w:iCs w:val="0"/>
          <w:caps w:val="0"/>
          <w:color w:val="000000"/>
          <w:spacing w:val="0"/>
          <w:sz w:val="32"/>
          <w:szCs w:val="32"/>
          <w:shd w:val="clear" w:fill="FFFFFF"/>
        </w:rPr>
        <w:t> 三、收到和处理依申请公开情况</w:t>
      </w:r>
    </w:p>
    <w:tbl>
      <w:tblPr>
        <w:tblStyle w:val="4"/>
        <w:tblW w:w="954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701"/>
        <w:gridCol w:w="2976"/>
        <w:gridCol w:w="747"/>
        <w:gridCol w:w="5"/>
        <w:gridCol w:w="535"/>
        <w:gridCol w:w="5"/>
        <w:gridCol w:w="535"/>
        <w:gridCol w:w="720"/>
        <w:gridCol w:w="675"/>
        <w:gridCol w:w="525"/>
        <w:gridCol w:w="70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5093" w:type="dxa"/>
            <w:gridSpan w:val="3"/>
            <w:vMerge w:val="restart"/>
            <w:noWrap w:val="0"/>
            <w:tcMar>
              <w:left w:w="108" w:type="dxa"/>
              <w:right w:w="108" w:type="dxa"/>
            </w:tcMar>
            <w:vAlign w:val="center"/>
          </w:tcPr>
          <w:p>
            <w:pPr>
              <w:widowControl/>
              <w:jc w:val="center"/>
              <w:rPr>
                <w:rFonts w:ascii="楷体_GB2312" w:hAnsi="黑体" w:eastAsia="楷体_GB2312"/>
                <w:kern w:val="0"/>
                <w:szCs w:val="21"/>
              </w:rPr>
            </w:pPr>
            <w:r>
              <w:rPr>
                <w:rFonts w:hint="eastAsia" w:ascii="楷体_GB2312" w:hAnsi="黑体" w:eastAsia="楷体_GB2312"/>
                <w:kern w:val="0"/>
                <w:szCs w:val="21"/>
              </w:rPr>
              <w:t>（本列数据的勾稽关系为：第一项加第二项之和，</w:t>
            </w:r>
          </w:p>
          <w:p>
            <w:pPr>
              <w:widowControl/>
              <w:jc w:val="center"/>
              <w:rPr>
                <w:rFonts w:ascii="仿宋_GB2312" w:hAnsi="Times New Roman" w:eastAsia="仿宋_GB2312"/>
                <w:szCs w:val="21"/>
              </w:rPr>
            </w:pPr>
            <w:r>
              <w:rPr>
                <w:rFonts w:hint="eastAsia" w:ascii="楷体_GB2312" w:hAnsi="黑体" w:eastAsia="楷体_GB2312"/>
                <w:kern w:val="0"/>
                <w:szCs w:val="21"/>
              </w:rPr>
              <w:t>等于第三项加第四项之和）</w:t>
            </w:r>
          </w:p>
        </w:tc>
        <w:tc>
          <w:tcPr>
            <w:tcW w:w="4448" w:type="dxa"/>
            <w:gridSpan w:val="9"/>
            <w:noWrap w:val="0"/>
            <w:tcMar>
              <w:left w:w="108" w:type="dxa"/>
              <w:right w:w="108" w:type="dxa"/>
            </w:tcMar>
            <w:vAlign w:val="center"/>
          </w:tcPr>
          <w:p>
            <w:pPr>
              <w:widowControl/>
              <w:spacing w:line="320" w:lineRule="exact"/>
              <w:jc w:val="center"/>
              <w:rPr>
                <w:rFonts w:ascii="黑体" w:hAnsi="黑体" w:eastAsia="黑体"/>
                <w:szCs w:val="21"/>
              </w:rPr>
            </w:pPr>
            <w:r>
              <w:rPr>
                <w:rFonts w:hint="eastAsia" w:ascii="黑体" w:hAnsi="黑体" w:eastAsia="黑体"/>
                <w:kern w:val="0"/>
                <w:szCs w:val="21"/>
              </w:rPr>
              <w:t>申请人情况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5093" w:type="dxa"/>
            <w:gridSpan w:val="3"/>
            <w:vMerge w:val="continue"/>
            <w:noWrap w:val="0"/>
            <w:tcMar>
              <w:left w:w="108" w:type="dxa"/>
              <w:right w:w="108" w:type="dxa"/>
            </w:tcMar>
            <w:vAlign w:val="center"/>
          </w:tcPr>
          <w:p>
            <w:pPr>
              <w:jc w:val="center"/>
              <w:rPr>
                <w:rFonts w:ascii="仿宋_GB2312" w:hAnsi="Times New Roman" w:eastAsia="仿宋_GB2312"/>
                <w:szCs w:val="21"/>
              </w:rPr>
            </w:pPr>
          </w:p>
        </w:tc>
        <w:tc>
          <w:tcPr>
            <w:tcW w:w="747" w:type="dxa"/>
            <w:vMerge w:val="restart"/>
            <w:noWrap w:val="0"/>
            <w:tcMar>
              <w:left w:w="108" w:type="dxa"/>
              <w:right w:w="108" w:type="dxa"/>
            </w:tcMar>
            <w:vAlign w:val="center"/>
          </w:tcPr>
          <w:p>
            <w:pPr>
              <w:widowControl/>
              <w:jc w:val="center"/>
              <w:rPr>
                <w:rFonts w:ascii="黑体" w:hAnsi="黑体" w:eastAsia="黑体"/>
                <w:szCs w:val="21"/>
              </w:rPr>
            </w:pPr>
            <w:r>
              <w:rPr>
                <w:rFonts w:hint="eastAsia" w:ascii="黑体" w:hAnsi="黑体" w:eastAsia="黑体"/>
                <w:kern w:val="0"/>
                <w:szCs w:val="21"/>
              </w:rPr>
              <w:t>自然人</w:t>
            </w:r>
          </w:p>
        </w:tc>
        <w:tc>
          <w:tcPr>
            <w:tcW w:w="3000" w:type="dxa"/>
            <w:gridSpan w:val="7"/>
            <w:noWrap w:val="0"/>
            <w:tcMar>
              <w:left w:w="108" w:type="dxa"/>
              <w:right w:w="108" w:type="dxa"/>
            </w:tcMar>
            <w:vAlign w:val="center"/>
          </w:tcPr>
          <w:p>
            <w:pPr>
              <w:widowControl/>
              <w:spacing w:line="320" w:lineRule="exact"/>
              <w:jc w:val="center"/>
              <w:rPr>
                <w:rFonts w:ascii="黑体" w:hAnsi="黑体" w:eastAsia="黑体"/>
                <w:szCs w:val="21"/>
              </w:rPr>
            </w:pPr>
            <w:r>
              <w:rPr>
                <w:rFonts w:hint="eastAsia" w:ascii="黑体" w:hAnsi="黑体" w:eastAsia="黑体"/>
                <w:kern w:val="0"/>
                <w:szCs w:val="21"/>
              </w:rPr>
              <w:t>法人或其他组织</w:t>
            </w:r>
          </w:p>
        </w:tc>
        <w:tc>
          <w:tcPr>
            <w:tcW w:w="701" w:type="dxa"/>
            <w:vMerge w:val="restart"/>
            <w:noWrap w:val="0"/>
            <w:tcMar>
              <w:left w:w="108" w:type="dxa"/>
              <w:right w:w="108" w:type="dxa"/>
            </w:tcMar>
            <w:vAlign w:val="center"/>
          </w:tcPr>
          <w:p>
            <w:pPr>
              <w:widowControl/>
              <w:jc w:val="center"/>
              <w:rPr>
                <w:rFonts w:ascii="黑体" w:hAnsi="黑体" w:eastAsia="黑体"/>
                <w:szCs w:val="21"/>
              </w:rPr>
            </w:pPr>
            <w:r>
              <w:rPr>
                <w:rFonts w:hint="eastAsia" w:ascii="黑体" w:hAnsi="黑体" w:eastAsia="黑体"/>
                <w:kern w:val="0"/>
                <w:szCs w:val="21"/>
              </w:rPr>
              <w:t>总计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093" w:type="dxa"/>
            <w:gridSpan w:val="3"/>
            <w:vMerge w:val="continue"/>
            <w:noWrap w:val="0"/>
            <w:tcMar>
              <w:left w:w="108" w:type="dxa"/>
              <w:right w:w="108" w:type="dxa"/>
            </w:tcMar>
            <w:vAlign w:val="center"/>
          </w:tcPr>
          <w:p>
            <w:pPr>
              <w:jc w:val="center"/>
              <w:rPr>
                <w:rFonts w:ascii="仿宋_GB2312" w:hAnsi="Times New Roman" w:eastAsia="仿宋_GB2312"/>
                <w:szCs w:val="21"/>
              </w:rPr>
            </w:pPr>
          </w:p>
        </w:tc>
        <w:tc>
          <w:tcPr>
            <w:tcW w:w="747" w:type="dxa"/>
            <w:vMerge w:val="continue"/>
            <w:noWrap w:val="0"/>
            <w:tcMar>
              <w:left w:w="108" w:type="dxa"/>
              <w:right w:w="108" w:type="dxa"/>
            </w:tcMar>
            <w:vAlign w:val="center"/>
          </w:tcPr>
          <w:p>
            <w:pPr>
              <w:jc w:val="center"/>
              <w:rPr>
                <w:rFonts w:ascii="黑体" w:hAnsi="黑体" w:eastAsia="黑体"/>
                <w:szCs w:val="21"/>
              </w:rPr>
            </w:pPr>
          </w:p>
        </w:tc>
        <w:tc>
          <w:tcPr>
            <w:tcW w:w="540" w:type="dxa"/>
            <w:gridSpan w:val="2"/>
            <w:noWrap w:val="0"/>
            <w:tcMar>
              <w:left w:w="108" w:type="dxa"/>
              <w:right w:w="108" w:type="dxa"/>
            </w:tcMar>
            <w:vAlign w:val="center"/>
          </w:tcPr>
          <w:p>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商业企业</w:t>
            </w:r>
          </w:p>
        </w:tc>
        <w:tc>
          <w:tcPr>
            <w:tcW w:w="540" w:type="dxa"/>
            <w:gridSpan w:val="2"/>
            <w:noWrap w:val="0"/>
            <w:tcMar>
              <w:left w:w="108" w:type="dxa"/>
              <w:right w:w="108" w:type="dxa"/>
            </w:tcMar>
            <w:vAlign w:val="center"/>
          </w:tcPr>
          <w:p>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科研机构</w:t>
            </w:r>
          </w:p>
        </w:tc>
        <w:tc>
          <w:tcPr>
            <w:tcW w:w="720" w:type="dxa"/>
            <w:noWrap w:val="0"/>
            <w:tcMar>
              <w:left w:w="108" w:type="dxa"/>
              <w:right w:w="108" w:type="dxa"/>
            </w:tcMar>
            <w:vAlign w:val="center"/>
          </w:tcPr>
          <w:p>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社会公益组织</w:t>
            </w:r>
          </w:p>
        </w:tc>
        <w:tc>
          <w:tcPr>
            <w:tcW w:w="675" w:type="dxa"/>
            <w:noWrap w:val="0"/>
            <w:tcMar>
              <w:left w:w="108" w:type="dxa"/>
              <w:right w:w="108" w:type="dxa"/>
            </w:tcMar>
            <w:vAlign w:val="center"/>
          </w:tcPr>
          <w:p>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法律服务机构</w:t>
            </w:r>
          </w:p>
        </w:tc>
        <w:tc>
          <w:tcPr>
            <w:tcW w:w="525" w:type="dxa"/>
            <w:noWrap w:val="0"/>
            <w:tcMar>
              <w:left w:w="108" w:type="dxa"/>
              <w:right w:w="108" w:type="dxa"/>
            </w:tcMar>
            <w:vAlign w:val="center"/>
          </w:tcPr>
          <w:p>
            <w:pPr>
              <w:widowControl/>
              <w:spacing w:line="360" w:lineRule="exact"/>
              <w:ind w:left="-63" w:leftChars="-30" w:right="-134" w:rightChars="-64"/>
              <w:jc w:val="center"/>
              <w:rPr>
                <w:rFonts w:ascii="黑体" w:hAnsi="黑体" w:eastAsia="黑体"/>
                <w:szCs w:val="21"/>
              </w:rPr>
            </w:pPr>
            <w:r>
              <w:rPr>
                <w:rFonts w:hint="eastAsia" w:ascii="黑体" w:hAnsi="黑体" w:eastAsia="黑体"/>
                <w:kern w:val="0"/>
                <w:szCs w:val="21"/>
              </w:rPr>
              <w:t>其他</w:t>
            </w:r>
          </w:p>
        </w:tc>
        <w:tc>
          <w:tcPr>
            <w:tcW w:w="701" w:type="dxa"/>
            <w:vMerge w:val="continue"/>
            <w:noWrap w:val="0"/>
            <w:tcMar>
              <w:left w:w="108" w:type="dxa"/>
              <w:right w:w="108" w:type="dxa"/>
            </w:tcMar>
            <w:vAlign w:val="center"/>
          </w:tcPr>
          <w:p>
            <w:pPr>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一、</w:t>
            </w:r>
            <w:bookmarkStart w:id="0" w:name="_Hlk66973412"/>
            <w:r>
              <w:rPr>
                <w:rFonts w:hint="eastAsia" w:ascii="黑体" w:hAnsi="黑体" w:eastAsia="黑体"/>
                <w:kern w:val="0"/>
                <w:szCs w:val="21"/>
              </w:rPr>
              <w:t>本年新收政府信息公开申请数量</w:t>
            </w:r>
            <w:bookmarkEnd w:id="0"/>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二、上年结转政府信息公开申请数量</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restart"/>
            <w:noWrap w:val="0"/>
            <w:tcMar>
              <w:left w:w="108" w:type="dxa"/>
              <w:right w:w="108" w:type="dxa"/>
            </w:tcMar>
            <w:vAlign w:val="center"/>
          </w:tcPr>
          <w:p>
            <w:pPr>
              <w:widowControl/>
              <w:spacing w:after="180"/>
              <w:rPr>
                <w:rFonts w:ascii="黑体" w:hAnsi="黑体" w:eastAsia="黑体"/>
                <w:szCs w:val="21"/>
              </w:rPr>
            </w:pPr>
            <w:r>
              <w:rPr>
                <w:rFonts w:hint="eastAsia" w:ascii="黑体" w:hAnsi="黑体" w:eastAsia="黑体"/>
                <w:kern w:val="0"/>
                <w:szCs w:val="21"/>
              </w:rPr>
              <w:t>三、本年度办理结果</w:t>
            </w:r>
          </w:p>
        </w:tc>
        <w:tc>
          <w:tcPr>
            <w:tcW w:w="4677" w:type="dxa"/>
            <w:gridSpan w:val="2"/>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（一）予以公开</w:t>
            </w:r>
          </w:p>
        </w:tc>
        <w:tc>
          <w:tcPr>
            <w:tcW w:w="752"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4677" w:type="dxa"/>
            <w:gridSpan w:val="2"/>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（二）部分公开（</w:t>
            </w:r>
            <w:bookmarkStart w:id="1" w:name="_Hlk66973981"/>
            <w:r>
              <w:rPr>
                <w:rFonts w:hint="eastAsia" w:ascii="黑体" w:hAnsi="黑体" w:eastAsia="黑体"/>
                <w:kern w:val="0"/>
                <w:szCs w:val="21"/>
              </w:rPr>
              <w:t>区分处理的，只计这一情形，不计其他情形</w:t>
            </w:r>
            <w:bookmarkEnd w:id="1"/>
            <w:r>
              <w:rPr>
                <w:rFonts w:hint="eastAsia" w:ascii="黑体" w:hAnsi="黑体" w:eastAsia="黑体"/>
                <w:kern w:val="0"/>
                <w:szCs w:val="21"/>
              </w:rPr>
              <w:t>）</w:t>
            </w:r>
          </w:p>
        </w:tc>
        <w:tc>
          <w:tcPr>
            <w:tcW w:w="752"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3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hAnsi="Times New Roman" w:eastAsia="仿宋_GB2312"/>
                <w:color w:val="auto"/>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（三）不予公开</w:t>
            </w: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1.属于国家秘密</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2" w:name="_Hlk66974104"/>
            <w:r>
              <w:rPr>
                <w:rFonts w:hint="eastAsia" w:ascii="仿宋_GB2312" w:hAnsi="黑体" w:eastAsia="仿宋_GB2312"/>
                <w:kern w:val="0"/>
                <w:szCs w:val="21"/>
              </w:rPr>
              <w:t>其他法律行政法规禁止公开</w:t>
            </w:r>
            <w:bookmarkEnd w:id="2"/>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3.危及“三安全一稳定”</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4.</w:t>
            </w:r>
            <w:bookmarkStart w:id="3" w:name="_Hlk66974290"/>
            <w:r>
              <w:rPr>
                <w:rFonts w:hint="eastAsia" w:ascii="仿宋_GB2312" w:hAnsi="黑体" w:eastAsia="仿宋_GB2312"/>
                <w:kern w:val="0"/>
                <w:szCs w:val="21"/>
              </w:rPr>
              <w:t>保护第三方合法权益</w:t>
            </w:r>
            <w:bookmarkEnd w:id="3"/>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5.属于三类内部事务信息</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6.</w:t>
            </w:r>
            <w:bookmarkStart w:id="4" w:name="_Hlk66974555"/>
            <w:r>
              <w:rPr>
                <w:rFonts w:hint="eastAsia" w:ascii="仿宋_GB2312" w:hAnsi="黑体" w:eastAsia="仿宋_GB2312"/>
                <w:kern w:val="0"/>
                <w:szCs w:val="21"/>
              </w:rPr>
              <w:t>属于四类过程性信息</w:t>
            </w:r>
            <w:bookmarkEnd w:id="4"/>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7.属于行政执法案卷</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8.</w:t>
            </w:r>
            <w:bookmarkStart w:id="5" w:name="_Hlk66975211"/>
            <w:r>
              <w:rPr>
                <w:rFonts w:hint="eastAsia" w:ascii="仿宋_GB2312" w:hAnsi="黑体" w:eastAsia="仿宋_GB2312"/>
                <w:kern w:val="0"/>
                <w:szCs w:val="21"/>
              </w:rPr>
              <w:t>属于行政查询事项</w:t>
            </w:r>
            <w:bookmarkEnd w:id="5"/>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（四）无法提供</w:t>
            </w: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1.本机关不掌握相关政府信息</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ind w:left="-107" w:leftChars="-51"/>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6" w:name="_Hlk66975392"/>
            <w:r>
              <w:rPr>
                <w:rFonts w:hint="eastAsia" w:ascii="仿宋_GB2312" w:hAnsi="黑体" w:eastAsia="仿宋_GB2312"/>
                <w:kern w:val="0"/>
                <w:szCs w:val="21"/>
              </w:rPr>
              <w:t>没有现成信息需要另行制作</w:t>
            </w:r>
            <w:bookmarkEnd w:id="6"/>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ind w:left="-107" w:leftChars="-51"/>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3.</w:t>
            </w:r>
            <w:bookmarkStart w:id="7" w:name="_Hlk66975466"/>
            <w:r>
              <w:rPr>
                <w:rFonts w:hint="eastAsia" w:ascii="仿宋_GB2312" w:hAnsi="黑体" w:eastAsia="仿宋_GB2312"/>
                <w:kern w:val="0"/>
                <w:szCs w:val="21"/>
              </w:rPr>
              <w:t>补正后申请内容仍不明确</w:t>
            </w:r>
            <w:bookmarkEnd w:id="7"/>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（五）不予处理</w:t>
            </w: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w:t>
            </w:r>
            <w:bookmarkStart w:id="8" w:name="_Hlk66975537"/>
            <w:r>
              <w:rPr>
                <w:rFonts w:hint="eastAsia" w:ascii="仿宋_GB2312" w:hAnsi="黑体" w:eastAsia="仿宋_GB2312"/>
                <w:kern w:val="0"/>
                <w:szCs w:val="21"/>
              </w:rPr>
              <w:t>信访举报投诉类申请</w:t>
            </w:r>
            <w:bookmarkEnd w:id="8"/>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2.重复申请</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szCs w:val="21"/>
              </w:rPr>
            </w:pPr>
            <w:r>
              <w:rPr>
                <w:rFonts w:hint="eastAsia" w:ascii="仿宋_GB2312" w:hAnsi="黑体" w:eastAsia="仿宋_GB2312"/>
                <w:kern w:val="0"/>
                <w:szCs w:val="21"/>
              </w:rPr>
              <w:t>3.要求提供公开出版物</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szCs w:val="21"/>
              </w:rPr>
            </w:pPr>
            <w:r>
              <w:rPr>
                <w:rFonts w:hint="eastAsia" w:ascii="仿宋_GB2312" w:hAnsi="黑体" w:eastAsia="仿宋_GB2312"/>
                <w:kern w:val="0"/>
                <w:szCs w:val="21"/>
              </w:rPr>
              <w:t>4.无正当理由大量反复申请</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300" w:lineRule="exact"/>
              <w:rPr>
                <w:rFonts w:ascii="仿宋_GB2312" w:hAnsi="黑体" w:eastAsia="仿宋_GB2312"/>
                <w:kern w:val="0"/>
                <w:szCs w:val="21"/>
              </w:rPr>
            </w:pPr>
            <w:r>
              <w:rPr>
                <w:rFonts w:hint="eastAsia" w:ascii="仿宋_GB2312" w:hAnsi="黑体" w:eastAsia="仿宋_GB2312"/>
                <w:kern w:val="0"/>
                <w:szCs w:val="21"/>
              </w:rPr>
              <w:t>5.要求行政机关确认或重新</w:t>
            </w:r>
          </w:p>
          <w:p>
            <w:pPr>
              <w:widowControl/>
              <w:spacing w:line="300" w:lineRule="exact"/>
              <w:ind w:firstLine="210" w:firstLineChars="100"/>
              <w:rPr>
                <w:rFonts w:ascii="仿宋_GB2312" w:hAnsi="黑体" w:eastAsia="仿宋_GB2312"/>
                <w:szCs w:val="21"/>
              </w:rPr>
            </w:pPr>
            <w:r>
              <w:rPr>
                <w:rFonts w:hint="eastAsia" w:ascii="仿宋_GB2312" w:hAnsi="黑体" w:eastAsia="仿宋_GB2312"/>
                <w:kern w:val="0"/>
                <w:szCs w:val="21"/>
              </w:rPr>
              <w:t>出具已获取信息</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（六）其他处理</w:t>
            </w:r>
          </w:p>
        </w:tc>
        <w:tc>
          <w:tcPr>
            <w:tcW w:w="2976" w:type="dxa"/>
            <w:noWrap w:val="0"/>
            <w:vAlign w:val="center"/>
          </w:tcPr>
          <w:p>
            <w:pPr>
              <w:widowControl/>
              <w:spacing w:line="300" w:lineRule="exact"/>
              <w:rPr>
                <w:rFonts w:ascii="仿宋_GB2312" w:hAnsi="楷体" w:eastAsia="仿宋_GB2312"/>
              </w:rPr>
            </w:pPr>
            <w:r>
              <w:rPr>
                <w:rFonts w:hint="eastAsia" w:ascii="仿宋_GB2312" w:hAnsi="楷体" w:eastAsia="仿宋_GB2312"/>
              </w:rPr>
              <w:t>1.申请人无正当理由逾期不补正、行政机关不再处理其政府信息公开申请</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widowControl/>
              <w:spacing w:line="300" w:lineRule="exact"/>
              <w:rPr>
                <w:rFonts w:ascii="黑体" w:hAnsi="黑体" w:eastAsia="黑体"/>
                <w:kern w:val="0"/>
                <w:szCs w:val="21"/>
              </w:rPr>
            </w:pPr>
          </w:p>
        </w:tc>
        <w:tc>
          <w:tcPr>
            <w:tcW w:w="2976" w:type="dxa"/>
            <w:noWrap w:val="0"/>
            <w:vAlign w:val="center"/>
          </w:tcPr>
          <w:p>
            <w:pPr>
              <w:widowControl/>
              <w:spacing w:line="300" w:lineRule="exact"/>
              <w:rPr>
                <w:rFonts w:ascii="仿宋_GB2312" w:hAnsi="黑体" w:eastAsia="仿宋_GB2312"/>
                <w:kern w:val="0"/>
                <w:szCs w:val="21"/>
              </w:rPr>
            </w:pPr>
            <w:r>
              <w:rPr>
                <w:rFonts w:hint="eastAsia" w:ascii="仿宋_GB2312" w:hAnsi="楷体" w:eastAsia="仿宋_GB2312"/>
              </w:rPr>
              <w:t>2.申请人逾期未按收费通知要求缴纳费用、行政机关不再处理其政府信息公开申请</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widowControl/>
              <w:spacing w:line="300" w:lineRule="exact"/>
              <w:rPr>
                <w:rFonts w:ascii="黑体" w:hAnsi="黑体" w:eastAsia="黑体"/>
                <w:kern w:val="0"/>
                <w:szCs w:val="21"/>
              </w:rPr>
            </w:pPr>
          </w:p>
        </w:tc>
        <w:tc>
          <w:tcPr>
            <w:tcW w:w="2976" w:type="dxa"/>
            <w:noWrap w:val="0"/>
            <w:vAlign w:val="center"/>
          </w:tcPr>
          <w:p>
            <w:pPr>
              <w:widowControl/>
              <w:spacing w:line="300" w:lineRule="exact"/>
              <w:rPr>
                <w:rFonts w:ascii="仿宋_GB2312" w:hAnsi="黑体" w:eastAsia="仿宋_GB2312"/>
                <w:kern w:val="0"/>
                <w:szCs w:val="21"/>
              </w:rPr>
            </w:pPr>
            <w:r>
              <w:rPr>
                <w:rFonts w:hint="eastAsia" w:ascii="仿宋_GB2312" w:hAnsi="楷体" w:eastAsia="仿宋_GB2312"/>
              </w:rPr>
              <w:t>3.其他</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lang w:val="en-US"/>
              </w:rPr>
            </w:pPr>
            <w:r>
              <w:rPr>
                <w:rFonts w:hint="eastAsia" w:ascii="仿宋_GB2312"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4677" w:type="dxa"/>
            <w:gridSpan w:val="2"/>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（七）总计</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eastAsia="仿宋_GB2312"/>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093" w:type="dxa"/>
            <w:gridSpan w:val="3"/>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四、结转下年度继续办理</w:t>
            </w:r>
          </w:p>
        </w:tc>
        <w:tc>
          <w:tcPr>
            <w:tcW w:w="747"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eastAsia="仿宋_GB2312"/>
                <w:color w:val="auto"/>
                <w:szCs w:val="21"/>
                <w:lang w:val="en-US" w:eastAsia="zh-CN"/>
              </w:rPr>
              <w:t>0</w:t>
            </w:r>
          </w:p>
        </w:tc>
        <w:tc>
          <w:tcPr>
            <w:tcW w:w="540" w:type="dxa"/>
            <w:gridSpan w:val="2"/>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720"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67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525"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rPr>
            </w:pPr>
            <w:r>
              <w:rPr>
                <w:rFonts w:hint="eastAsia" w:ascii="仿宋_GB2312" w:hAnsi="Times New Roman" w:eastAsia="仿宋_GB2312"/>
                <w:color w:val="auto"/>
                <w:szCs w:val="21"/>
                <w:lang w:val="en-US" w:eastAsia="zh-CN"/>
              </w:rPr>
              <w:t>0</w:t>
            </w:r>
          </w:p>
        </w:tc>
        <w:tc>
          <w:tcPr>
            <w:tcW w:w="701" w:type="dxa"/>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auto"/>
                <w:szCs w:val="21"/>
                <w:lang w:val="en-US"/>
              </w:rPr>
            </w:pPr>
            <w:r>
              <w:rPr>
                <w:rFonts w:hint="eastAsia" w:ascii="仿宋_GB2312" w:eastAsia="仿宋_GB2312"/>
                <w:color w:val="auto"/>
                <w:szCs w:val="21"/>
                <w:lang w:val="en-US" w:eastAsia="zh-CN"/>
              </w:rPr>
              <w:t>0</w:t>
            </w:r>
          </w:p>
        </w:tc>
      </w:tr>
    </w:tbl>
    <w:p>
      <w:pPr>
        <w:pStyle w:val="3"/>
        <w:keepNext w:val="0"/>
        <w:keepLines w:val="0"/>
        <w:widowControl/>
        <w:suppressLineNumbers w:val="0"/>
        <w:spacing w:line="368" w:lineRule="atLeast"/>
        <w:rPr>
          <w:rFonts w:hint="eastAsia" w:ascii="黑体" w:hAnsi="黑体" w:eastAsia="黑体" w:cs="黑体"/>
          <w:b w:val="0"/>
          <w:bCs/>
          <w:sz w:val="32"/>
          <w:szCs w:val="32"/>
        </w:rPr>
      </w:pPr>
      <w:r>
        <w:rPr>
          <w:rStyle w:val="6"/>
          <w:rFonts w:hint="eastAsia" w:ascii="仿宋" w:hAnsi="仿宋" w:eastAsia="仿宋" w:cs="仿宋"/>
          <w:i w:val="0"/>
          <w:iCs w:val="0"/>
          <w:caps w:val="0"/>
          <w:color w:val="000000"/>
          <w:spacing w:val="0"/>
          <w:sz w:val="32"/>
          <w:szCs w:val="32"/>
          <w:shd w:val="clear" w:fill="FFFFFF"/>
        </w:rPr>
        <w:t> </w:t>
      </w:r>
      <w:r>
        <w:rPr>
          <w:rStyle w:val="6"/>
          <w:rFonts w:hint="eastAsia" w:ascii="仿宋" w:hAnsi="仿宋" w:eastAsia="仿宋" w:cs="仿宋"/>
          <w:b w:val="0"/>
          <w:bCs/>
          <w:i w:val="0"/>
          <w:iCs w:val="0"/>
          <w:caps w:val="0"/>
          <w:color w:val="000000"/>
          <w:spacing w:val="0"/>
          <w:sz w:val="32"/>
          <w:szCs w:val="32"/>
          <w:shd w:val="clear" w:fill="FFFFFF"/>
        </w:rPr>
        <w:t>  </w:t>
      </w:r>
      <w:r>
        <w:rPr>
          <w:rStyle w:val="6"/>
          <w:rFonts w:hint="eastAsia" w:ascii="黑体" w:hAnsi="黑体" w:eastAsia="黑体" w:cs="黑体"/>
          <w:b w:val="0"/>
          <w:bCs/>
          <w:i w:val="0"/>
          <w:iCs w:val="0"/>
          <w:caps w:val="0"/>
          <w:color w:val="000000"/>
          <w:spacing w:val="0"/>
          <w:sz w:val="32"/>
          <w:szCs w:val="32"/>
          <w:shd w:val="clear" w:fill="FFFFFF"/>
        </w:rPr>
        <w:t> 四、政府信息公开行政复议、行政诉讼情况</w:t>
      </w:r>
    </w:p>
    <w:tbl>
      <w:tblPr>
        <w:tblStyle w:val="4"/>
        <w:tblW w:w="9537"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107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行政复议</w:t>
            </w:r>
          </w:p>
        </w:tc>
        <w:tc>
          <w:tcPr>
            <w:tcW w:w="6463"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ind w:left="-149" w:leftChars="-71" w:right="-170" w:rightChars="-81"/>
              <w:jc w:val="center"/>
              <w:rPr>
                <w:rFonts w:ascii="黑体" w:hAnsi="黑体" w:eastAsia="黑体"/>
                <w:kern w:val="0"/>
                <w:sz w:val="20"/>
                <w:szCs w:val="20"/>
              </w:rPr>
            </w:pPr>
            <w:r>
              <w:rPr>
                <w:rFonts w:ascii="黑体" w:hAnsi="黑体" w:eastAsia="黑体"/>
                <w:kern w:val="0"/>
                <w:sz w:val="20"/>
                <w:szCs w:val="20"/>
              </w:rPr>
              <w:t>结果</w:t>
            </w:r>
          </w:p>
          <w:p>
            <w:pPr>
              <w:widowControl/>
              <w:ind w:left="-149" w:leftChars="-71" w:right="-170" w:rightChars="-81"/>
              <w:jc w:val="center"/>
              <w:rPr>
                <w:rFonts w:ascii="黑体" w:hAnsi="黑体" w:eastAsia="黑体"/>
              </w:rPr>
            </w:pPr>
            <w:r>
              <w:rPr>
                <w:rFonts w:ascii="黑体" w:hAnsi="黑体" w:eastAsia="黑体"/>
                <w:kern w:val="0"/>
                <w:sz w:val="20"/>
                <w:szCs w:val="20"/>
              </w:rPr>
              <w:t>维持</w:t>
            </w:r>
          </w:p>
        </w:tc>
        <w:tc>
          <w:tcPr>
            <w:tcW w:w="604" w:type="dxa"/>
            <w:vMerge w:val="restart"/>
            <w:tcBorders>
              <w:top w:val="nil"/>
              <w:left w:val="nil"/>
              <w:bottom w:val="single" w:color="auto" w:sz="8" w:space="0"/>
              <w:right w:val="single" w:color="auto" w:sz="8" w:space="0"/>
            </w:tcBorders>
            <w:noWrap w:val="0"/>
            <w:tcMar>
              <w:left w:w="108" w:type="dxa"/>
              <w:right w:w="108" w:type="dxa"/>
            </w:tcMar>
            <w:vAlign w:val="center"/>
          </w:tcPr>
          <w:p>
            <w:pPr>
              <w:widowControl/>
              <w:ind w:left="-43" w:leftChars="-21" w:right="-132" w:rightChars="-63" w:hanging="1"/>
              <w:jc w:val="center"/>
              <w:rPr>
                <w:rFonts w:ascii="黑体" w:hAnsi="黑体" w:eastAsia="黑体"/>
              </w:rPr>
            </w:pPr>
            <w:r>
              <w:rPr>
                <w:rFonts w:ascii="黑体" w:hAnsi="黑体" w:eastAsia="黑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82" w:leftChars="-39" w:right="-97" w:rightChars="-46"/>
              <w:jc w:val="center"/>
              <w:rPr>
                <w:rFonts w:ascii="黑体" w:hAnsi="黑体" w:eastAsia="黑体"/>
              </w:rPr>
            </w:pPr>
            <w:r>
              <w:rPr>
                <w:rFonts w:ascii="黑体" w:hAnsi="黑体" w:eastAsia="黑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18" w:leftChars="-56" w:right="-118" w:rightChars="-56"/>
              <w:jc w:val="center"/>
              <w:rPr>
                <w:rFonts w:ascii="黑体" w:hAnsi="黑体" w:eastAsia="黑体"/>
                <w:kern w:val="0"/>
                <w:sz w:val="20"/>
                <w:szCs w:val="20"/>
              </w:rPr>
            </w:pPr>
            <w:r>
              <w:rPr>
                <w:rFonts w:ascii="黑体" w:hAnsi="黑体" w:eastAsia="黑体"/>
                <w:kern w:val="0"/>
                <w:sz w:val="20"/>
                <w:szCs w:val="20"/>
              </w:rPr>
              <w:t>尚未</w:t>
            </w:r>
          </w:p>
          <w:p>
            <w:pPr>
              <w:widowControl/>
              <w:ind w:left="-118" w:leftChars="-56" w:right="-118" w:rightChars="-56"/>
              <w:jc w:val="center"/>
              <w:rPr>
                <w:rFonts w:ascii="黑体" w:hAnsi="黑体" w:eastAsia="黑体"/>
              </w:rPr>
            </w:pPr>
            <w:r>
              <w:rPr>
                <w:rFonts w:ascii="黑体" w:hAnsi="黑体" w:eastAsia="黑体"/>
                <w:kern w:val="0"/>
                <w:sz w:val="20"/>
                <w:szCs w:val="20"/>
              </w:rPr>
              <w:t>审结</w:t>
            </w:r>
          </w:p>
        </w:tc>
        <w:tc>
          <w:tcPr>
            <w:tcW w:w="658"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spacing w:line="320" w:lineRule="exact"/>
              <w:jc w:val="center"/>
              <w:rPr>
                <w:rFonts w:ascii="黑体" w:hAnsi="黑体" w:eastAsia="黑体"/>
                <w:kern w:val="0"/>
                <w:sz w:val="20"/>
                <w:szCs w:val="20"/>
              </w:rPr>
            </w:pPr>
            <w:r>
              <w:rPr>
                <w:rFonts w:ascii="黑体" w:hAnsi="黑体" w:eastAsia="黑体"/>
                <w:kern w:val="0"/>
                <w:sz w:val="20"/>
                <w:szCs w:val="20"/>
              </w:rPr>
              <w:t>总</w:t>
            </w:r>
          </w:p>
          <w:p>
            <w:pPr>
              <w:widowControl/>
              <w:spacing w:line="320" w:lineRule="exact"/>
              <w:jc w:val="center"/>
              <w:rPr>
                <w:rFonts w:ascii="黑体" w:hAnsi="黑体" w:eastAsia="黑体"/>
              </w:rPr>
            </w:pPr>
            <w:r>
              <w:rPr>
                <w:rFonts w:ascii="黑体" w:hAnsi="黑体" w:eastAsia="黑体"/>
                <w:kern w:val="0"/>
                <w:sz w:val="20"/>
                <w:szCs w:val="20"/>
              </w:rPr>
              <w:t>计</w:t>
            </w:r>
          </w:p>
        </w:tc>
        <w:tc>
          <w:tcPr>
            <w:tcW w:w="297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未经复议直接起诉</w:t>
            </w:r>
          </w:p>
        </w:tc>
        <w:tc>
          <w:tcPr>
            <w:tcW w:w="3493"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bookmarkStart w:id="9" w:name="_Hlk67039688"/>
            <w:r>
              <w:rPr>
                <w:rFonts w:ascii="黑体" w:hAnsi="黑体" w:eastAsia="黑体"/>
                <w:kern w:val="0"/>
                <w:sz w:val="20"/>
                <w:szCs w:val="20"/>
              </w:rPr>
              <w:t>复议后起诉</w:t>
            </w:r>
            <w:bookmarkEnd w:id="9"/>
            <w:bookmarkStart w:id="10" w:name="_GoBack"/>
            <w:bookmarkEnd w:id="10"/>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nil"/>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58"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550" w:type="dxa"/>
            <w:tcBorders>
              <w:top w:val="nil"/>
              <w:left w:val="nil"/>
              <w:bottom w:val="single" w:color="auto" w:sz="8" w:space="0"/>
              <w:right w:val="single" w:color="auto" w:sz="8" w:space="0"/>
            </w:tcBorders>
            <w:noWrap w:val="0"/>
            <w:tcMar>
              <w:left w:w="108" w:type="dxa"/>
              <w:right w:w="108" w:type="dxa"/>
            </w:tcMar>
            <w:vAlign w:val="center"/>
          </w:tcPr>
          <w:p>
            <w:pPr>
              <w:widowControl/>
              <w:ind w:left="-105" w:leftChars="-50" w:right="-126" w:rightChars="-60"/>
              <w:jc w:val="center"/>
              <w:rPr>
                <w:rFonts w:ascii="黑体" w:hAnsi="黑体" w:eastAsia="黑体"/>
              </w:rPr>
            </w:pPr>
            <w:r>
              <w:rPr>
                <w:rFonts w:ascii="黑体" w:hAnsi="黑体" w:eastAsia="黑体"/>
                <w:kern w:val="0"/>
                <w:sz w:val="20"/>
                <w:szCs w:val="20"/>
              </w:rPr>
              <w:t>结果维持</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ind w:left="-86" w:leftChars="-41" w:right="-88" w:rightChars="-42"/>
              <w:jc w:val="center"/>
              <w:rPr>
                <w:rFonts w:ascii="黑体" w:hAnsi="黑体" w:eastAsia="黑体"/>
              </w:rPr>
            </w:pPr>
            <w:r>
              <w:rPr>
                <w:rFonts w:ascii="黑体" w:hAnsi="黑体" w:eastAsia="黑体"/>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26" w:leftChars="-60" w:right="-136" w:rightChars="-65"/>
              <w:jc w:val="center"/>
              <w:rPr>
                <w:rFonts w:ascii="黑体" w:hAnsi="黑体" w:eastAsia="黑体"/>
                <w:kern w:val="0"/>
                <w:sz w:val="20"/>
                <w:szCs w:val="20"/>
              </w:rPr>
            </w:pPr>
            <w:r>
              <w:rPr>
                <w:rFonts w:ascii="黑体" w:hAnsi="黑体" w:eastAsia="黑体"/>
                <w:kern w:val="0"/>
                <w:sz w:val="20"/>
                <w:szCs w:val="20"/>
              </w:rPr>
              <w:t>其他</w:t>
            </w:r>
          </w:p>
          <w:p>
            <w:pPr>
              <w:widowControl/>
              <w:ind w:left="-126" w:leftChars="-60" w:right="-136" w:rightChars="-65"/>
              <w:jc w:val="center"/>
              <w:rPr>
                <w:rFonts w:ascii="黑体" w:hAnsi="黑体" w:eastAsia="黑体"/>
              </w:rPr>
            </w:pPr>
            <w:r>
              <w:rPr>
                <w:rFonts w:ascii="黑体" w:hAnsi="黑体" w:eastAsia="黑体"/>
                <w:kern w:val="0"/>
                <w:sz w:val="20"/>
                <w:szCs w:val="20"/>
              </w:rPr>
              <w:t>结果</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64" w:leftChars="-78" w:right="-153" w:rightChars="-73"/>
              <w:jc w:val="center"/>
              <w:rPr>
                <w:rFonts w:ascii="黑体" w:hAnsi="黑体" w:eastAsia="黑体"/>
                <w:kern w:val="0"/>
                <w:sz w:val="20"/>
                <w:szCs w:val="20"/>
              </w:rPr>
            </w:pPr>
            <w:r>
              <w:rPr>
                <w:rFonts w:ascii="黑体" w:hAnsi="黑体" w:eastAsia="黑体"/>
                <w:kern w:val="0"/>
                <w:sz w:val="20"/>
                <w:szCs w:val="20"/>
              </w:rPr>
              <w:t>尚未</w:t>
            </w:r>
          </w:p>
          <w:p>
            <w:pPr>
              <w:widowControl/>
              <w:ind w:left="-164" w:leftChars="-78" w:right="-153" w:rightChars="-73"/>
              <w:jc w:val="center"/>
              <w:rPr>
                <w:rFonts w:ascii="黑体" w:hAnsi="黑体" w:eastAsia="黑体"/>
              </w:rPr>
            </w:pPr>
            <w:r>
              <w:rPr>
                <w:rFonts w:ascii="黑体" w:hAnsi="黑体" w:eastAsia="黑体"/>
                <w:kern w:val="0"/>
                <w:sz w:val="20"/>
                <w:szCs w:val="20"/>
              </w:rPr>
              <w:t>审结</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总计</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99" w:leftChars="-47" w:right="-78" w:rightChars="-37"/>
              <w:jc w:val="center"/>
              <w:rPr>
                <w:rFonts w:ascii="黑体" w:hAnsi="黑体" w:eastAsia="黑体"/>
              </w:rPr>
            </w:pPr>
            <w:r>
              <w:rPr>
                <w:rFonts w:ascii="黑体" w:hAnsi="黑体" w:eastAsia="黑体"/>
                <w:kern w:val="0"/>
                <w:sz w:val="20"/>
                <w:szCs w:val="20"/>
              </w:rPr>
              <w:t>结果维持</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36" w:leftChars="-65" w:right="-124" w:rightChars="-59"/>
              <w:jc w:val="center"/>
              <w:rPr>
                <w:rFonts w:ascii="黑体" w:hAnsi="黑体" w:eastAsia="黑体"/>
                <w:kern w:val="0"/>
                <w:sz w:val="20"/>
                <w:szCs w:val="20"/>
              </w:rPr>
            </w:pPr>
            <w:r>
              <w:rPr>
                <w:rFonts w:ascii="黑体" w:hAnsi="黑体" w:eastAsia="黑体"/>
                <w:kern w:val="0"/>
                <w:sz w:val="20"/>
                <w:szCs w:val="20"/>
              </w:rPr>
              <w:t>结果</w:t>
            </w:r>
          </w:p>
          <w:p>
            <w:pPr>
              <w:widowControl/>
              <w:ind w:left="-136" w:leftChars="-65" w:right="-124" w:rightChars="-59"/>
              <w:jc w:val="center"/>
              <w:rPr>
                <w:rFonts w:ascii="黑体" w:hAnsi="黑体" w:eastAsia="黑体"/>
              </w:rPr>
            </w:pPr>
            <w:r>
              <w:rPr>
                <w:rFonts w:ascii="黑体" w:hAnsi="黑体" w:eastAsia="黑体"/>
                <w:kern w:val="0"/>
                <w:sz w:val="20"/>
                <w:szCs w:val="20"/>
              </w:rPr>
              <w:t>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73" w:leftChars="-83" w:right="-134" w:rightChars="-64" w:hanging="1"/>
              <w:jc w:val="center"/>
              <w:rPr>
                <w:rFonts w:ascii="黑体" w:hAnsi="黑体" w:eastAsia="黑体"/>
                <w:kern w:val="0"/>
                <w:sz w:val="20"/>
                <w:szCs w:val="20"/>
              </w:rPr>
            </w:pPr>
            <w:r>
              <w:rPr>
                <w:rFonts w:ascii="黑体" w:hAnsi="黑体" w:eastAsia="黑体"/>
                <w:kern w:val="0"/>
                <w:sz w:val="20"/>
                <w:szCs w:val="20"/>
              </w:rPr>
              <w:t>其他</w:t>
            </w:r>
          </w:p>
          <w:p>
            <w:pPr>
              <w:widowControl/>
              <w:ind w:left="-173" w:leftChars="-83" w:right="-134" w:rightChars="-64" w:hanging="1"/>
              <w:jc w:val="center"/>
              <w:rPr>
                <w:rFonts w:ascii="黑体" w:hAnsi="黑体" w:eastAsia="黑体"/>
              </w:rPr>
            </w:pPr>
            <w:r>
              <w:rPr>
                <w:rFonts w:ascii="黑体" w:hAnsi="黑体" w:eastAsia="黑体"/>
                <w:kern w:val="0"/>
                <w:sz w:val="20"/>
                <w:szCs w:val="20"/>
              </w:rPr>
              <w:t>结果</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67" w:leftChars="-33" w:right="-105" w:rightChars="-50" w:hanging="2" w:hangingChars="1"/>
              <w:jc w:val="center"/>
              <w:rPr>
                <w:rFonts w:ascii="黑体" w:hAnsi="黑体" w:eastAsia="黑体"/>
              </w:rPr>
            </w:pPr>
            <w:r>
              <w:rPr>
                <w:rFonts w:ascii="黑体" w:hAnsi="黑体" w:eastAsia="黑体"/>
                <w:kern w:val="0"/>
                <w:sz w:val="20"/>
                <w:szCs w:val="20"/>
              </w:rPr>
              <w:t>尚未审结</w:t>
            </w:r>
          </w:p>
        </w:tc>
        <w:tc>
          <w:tcPr>
            <w:tcW w:w="1072"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658"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550"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c>
          <w:tcPr>
            <w:tcW w:w="1072"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ascii="Times New Roman" w:hAnsi="Times New Roman"/>
              </w:rPr>
            </w:pPr>
            <w:r>
              <w:rPr>
                <w:rFonts w:hint="eastAsia"/>
                <w:lang w:val="en-US" w:eastAsia="zh-CN"/>
              </w:rPr>
              <w:t>0</w:t>
            </w:r>
          </w:p>
        </w:tc>
      </w:tr>
    </w:tbl>
    <w:p>
      <w:pPr>
        <w:pStyle w:val="3"/>
        <w:keepNext w:val="0"/>
        <w:keepLines w:val="0"/>
        <w:widowControl/>
        <w:suppressLineNumbers w:val="0"/>
        <w:spacing w:line="368" w:lineRule="atLeast"/>
        <w:ind w:left="0" w:firstLine="630"/>
        <w:jc w:val="both"/>
        <w:rPr>
          <w:rFonts w:hint="eastAsia" w:ascii="仿宋" w:hAnsi="仿宋" w:eastAsia="仿宋" w:cs="仿宋"/>
          <w:i w:val="0"/>
          <w:iCs w:val="0"/>
          <w:caps w:val="0"/>
          <w:color w:val="000000"/>
          <w:spacing w:val="0"/>
          <w:sz w:val="32"/>
          <w:szCs w:val="32"/>
        </w:rPr>
      </w:pPr>
      <w:r>
        <w:rPr>
          <w:rStyle w:val="6"/>
          <w:rFonts w:hint="eastAsia" w:ascii="黑体" w:hAnsi="黑体" w:eastAsia="黑体" w:cs="黑体"/>
          <w:b w:val="0"/>
          <w:bCs/>
          <w:i w:val="0"/>
          <w:iCs w:val="0"/>
          <w:caps w:val="0"/>
          <w:color w:val="000000"/>
          <w:spacing w:val="0"/>
          <w:sz w:val="32"/>
          <w:szCs w:val="32"/>
          <w:shd w:val="clear" w:fill="FFFFFF"/>
        </w:rPr>
        <w:t>五、存在的主要问题及改进情况</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2023年度，鲍沟镇政府信息公开工作虽然取得了一定的成绩，但与先进镇街相比，与公众对政务信息需求相比，还存在差距。主要体现为：政府信息公开人员业务水平还有待提高、学习深度不够，平台建设还有待完善，制度规范化管理还不很严格，信息公开内容较为简单，政府信息公开审核还不细致，相关部门对于信息公开不够重视。为此， 2023年政府信息公开工作我们将采取以下措施积极改进：</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1、提升政务信息公开从业人员工作能力和专业素养出发，常态开展纪律培训、业务培训，提升工作的能力、提高工作积极行和主动性。</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2、定期开展业务培训，努力提高工作人员职业素养。为全面开展好政务信息公开工作奠定坚实的人力资源基础。继续完善平台建设。规范信息制作、发布流程，加强政民互动，运用图解、视频等可视化方式，以多形式易了解的形式公开政府信息，确保群众“看得见、听得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3、按要求做好政府信息公开申请的答复和相关电话咨询，满足政府信息公开申请人的知情权。另外，严格做好日常工作自我检查，发现的问题及时整改，推进各项任务落实。</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600" w:lineRule="exact"/>
        <w:ind w:left="0" w:firstLine="418"/>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4、进一步健全政府信息公开工作机制和制度规范。不断规范政府信息主动公开工作机制、政府信息公开申请的受理机制和政府信息发布、保密、审查制度等。</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600" w:lineRule="exact"/>
        <w:ind w:left="0" w:firstLine="418"/>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5、做好日常工作自我检查，发现的问题及时整改，推进各项任务落实，提升我镇政务公开工作水平。</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黑体" w:hAnsi="黑体" w:eastAsia="黑体" w:cs="黑体"/>
          <w:b w:val="0"/>
          <w:bCs/>
          <w:i w:val="0"/>
          <w:iCs w:val="0"/>
          <w:caps w:val="0"/>
          <w:color w:val="000000"/>
          <w:spacing w:val="0"/>
          <w:sz w:val="32"/>
          <w:szCs w:val="32"/>
        </w:rPr>
      </w:pPr>
      <w:r>
        <w:rPr>
          <w:rStyle w:val="6"/>
          <w:rFonts w:hint="eastAsia" w:ascii="黑体" w:hAnsi="黑体" w:eastAsia="黑体" w:cs="黑体"/>
          <w:b w:val="0"/>
          <w:bCs/>
          <w:i w:val="0"/>
          <w:iCs w:val="0"/>
          <w:caps w:val="0"/>
          <w:color w:val="000000"/>
          <w:spacing w:val="0"/>
          <w:sz w:val="32"/>
          <w:szCs w:val="32"/>
        </w:rPr>
        <w:t>六、其他需要报告的事项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1.收取信息处理费情况方面。2023年度，本单位未收取信息处理费； </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2.落实上级年度政务公开工作要点情况。按照山东省、枣庄市、滕州市有关要求及分工，结合本镇工作实际，不断加强对政务公开工作的组织领导，细化完善政务公开工作方案，压实部门人员责任，确保政务公开工作成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3.人大代表建议和政协提案办理情况方面。2023年，未办理人大代表建议和政协提案。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4.开展政务公开创新方面。2023年度鲍沟镇开展了政府开放日活动、政务公开体验区等创新形式。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5.本单位政府信息公开工作年度报告数据统计需要说明的事项：无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6.其他有关文件专门要求通过政府信息公开工作年度报告予以报告的事项：无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7.本报告的电子版可在“中国滕州网”（http://www.tengzhou.gov.cn/）网站查询和下载。如对本报告有任何疑问，请与鲍沟镇政务信息公开办公室联系。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地址：山东省滕州市鲍沟镇政府</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联系电话：0632—2656101</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3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电子邮箱：baogouzhen@zz.shandong.cn）</w:t>
      </w:r>
    </w:p>
    <w:p>
      <w:pPr>
        <w:pStyle w:val="3"/>
        <w:keepNext w:val="0"/>
        <w:keepLines w:val="0"/>
        <w:widowControl/>
        <w:suppressLineNumbers w:val="0"/>
        <w:spacing w:line="368" w:lineRule="atLeast"/>
        <w:ind w:left="0" w:firstLine="630"/>
        <w:jc w:val="right"/>
        <w:rPr>
          <w:rFonts w:hint="eastAsia" w:ascii="仿宋" w:hAnsi="仿宋" w:eastAsia="仿宋" w:cs="仿宋"/>
          <w:i w:val="0"/>
          <w:iCs w:val="0"/>
          <w:caps w:val="0"/>
          <w:color w:val="000000"/>
          <w:spacing w:val="0"/>
          <w:sz w:val="32"/>
          <w:szCs w:val="32"/>
        </w:rPr>
      </w:pP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8248FC-2353-451F-82B6-EE2ACD03AB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B3C4FD4-BD39-4531-9490-2F0EC0B3415B}"/>
  </w:font>
  <w:font w:name="sans-serif">
    <w:altName w:val="Segoe Print"/>
    <w:panose1 w:val="00000000000000000000"/>
    <w:charset w:val="00"/>
    <w:family w:val="auto"/>
    <w:pitch w:val="default"/>
    <w:sig w:usb0="00000000" w:usb1="00000000" w:usb2="00000000" w:usb3="00000000" w:csb0="00000000" w:csb1="00000000"/>
    <w:embedRegular r:id="rId3" w:fontKey="{CAE48659-3451-4BCB-98B6-055E70536F4F}"/>
  </w:font>
  <w:font w:name="方正小标宋简体">
    <w:panose1 w:val="02000000000000000000"/>
    <w:charset w:val="86"/>
    <w:family w:val="auto"/>
    <w:pitch w:val="default"/>
    <w:sig w:usb0="00000001" w:usb1="08000000" w:usb2="00000000" w:usb3="00000000" w:csb0="00040000" w:csb1="00000000"/>
    <w:embedRegular r:id="rId4" w:fontKey="{C82D80D7-4EED-4A07-ABE1-557DAB96D92A}"/>
  </w:font>
  <w:font w:name="仿宋">
    <w:panose1 w:val="02010609060101010101"/>
    <w:charset w:val="86"/>
    <w:family w:val="auto"/>
    <w:pitch w:val="default"/>
    <w:sig w:usb0="800002BF" w:usb1="38CF7CFA" w:usb2="00000016" w:usb3="00000000" w:csb0="00040001" w:csb1="00000000"/>
    <w:embedRegular r:id="rId5" w:fontKey="{4AB494E3-5CCD-41BE-8846-F8FD5C003D02}"/>
  </w:font>
  <w:font w:name="楷体">
    <w:panose1 w:val="02010609060101010101"/>
    <w:charset w:val="86"/>
    <w:family w:val="decorative"/>
    <w:pitch w:val="default"/>
    <w:sig w:usb0="800002BF" w:usb1="38CF7CFA" w:usb2="00000016" w:usb3="00000000" w:csb0="00040001" w:csb1="00000000"/>
    <w:embedRegular r:id="rId6" w:fontKey="{792C42B1-B7CC-42AE-A1AE-409CC6540AD3}"/>
  </w:font>
  <w:font w:name="仿宋_GB2312">
    <w:panose1 w:val="02010609030101010101"/>
    <w:charset w:val="86"/>
    <w:family w:val="modern"/>
    <w:pitch w:val="default"/>
    <w:sig w:usb0="00000001" w:usb1="080E0000" w:usb2="00000000" w:usb3="00000000" w:csb0="00040000" w:csb1="00000000"/>
    <w:embedRegular r:id="rId7" w:fontKey="{6E80F463-2341-41F3-B873-92D34AE685E4}"/>
  </w:font>
  <w:font w:name="楷体_GB2312">
    <w:panose1 w:val="02010609030101010101"/>
    <w:charset w:val="86"/>
    <w:family w:val="modern"/>
    <w:pitch w:val="default"/>
    <w:sig w:usb0="00000001" w:usb1="080E0000" w:usb2="00000000" w:usb3="00000000" w:csb0="00040000" w:csb1="00000000"/>
    <w:embedRegular r:id="rId8" w:fontKey="{D56C8042-89D0-44C1-B131-E277DEC2FDD2}"/>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172EE"/>
    <w:multiLevelType w:val="singleLevel"/>
    <w:tmpl w:val="E0A172EE"/>
    <w:lvl w:ilvl="0" w:tentative="0">
      <w:start w:val="1"/>
      <w:numFmt w:val="bullet"/>
      <w:lvlText w:val=""/>
      <w:lvlJc w:val="left"/>
      <w:pPr>
        <w:ind w:left="420" w:hanging="420"/>
      </w:pPr>
      <w:rPr>
        <w:rFonts w:hint="default" w:ascii="Wingdings" w:hAnsi="Wingdings"/>
      </w:rPr>
    </w:lvl>
  </w:abstractNum>
  <w:abstractNum w:abstractNumId="1">
    <w:nsid w:val="527F9352"/>
    <w:multiLevelType w:val="singleLevel"/>
    <w:tmpl w:val="527F935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lN2YyNTcxMTZkOTljNTU5ZDcwNWE5ODVlMDQyMWIifQ=="/>
  </w:docVars>
  <w:rsids>
    <w:rsidRoot w:val="63264607"/>
    <w:rsid w:val="08A47272"/>
    <w:rsid w:val="1CAB0ACD"/>
    <w:rsid w:val="225B353B"/>
    <w:rsid w:val="27857D75"/>
    <w:rsid w:val="29466370"/>
    <w:rsid w:val="31417836"/>
    <w:rsid w:val="348255FE"/>
    <w:rsid w:val="377D0B0B"/>
    <w:rsid w:val="464078D3"/>
    <w:rsid w:val="57C245EC"/>
    <w:rsid w:val="59D608E1"/>
    <w:rsid w:val="5C4A7263"/>
    <w:rsid w:val="5EC96260"/>
    <w:rsid w:val="63264607"/>
    <w:rsid w:val="639465DF"/>
    <w:rsid w:val="6C8833AD"/>
    <w:rsid w:val="704376E1"/>
    <w:rsid w:val="7A301431"/>
    <w:rsid w:val="7C6D5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6">
    <w:name w:val="Strong"/>
    <w:basedOn w:val="5"/>
    <w:autoRedefine/>
    <w:qFormat/>
    <w:uiPriority w:val="0"/>
    <w:rPr>
      <w:b/>
    </w:rPr>
  </w:style>
  <w:style w:type="character" w:styleId="7">
    <w:name w:val="Hyperlink"/>
    <w:basedOn w:val="5"/>
    <w:autoRedefine/>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3853</Words>
  <Characters>4045</Characters>
  <Lines>0</Lines>
  <Paragraphs>0</Paragraphs>
  <TotalTime>10</TotalTime>
  <ScaleCrop>false</ScaleCrop>
  <LinksUpToDate>false</LinksUpToDate>
  <CharactersWithSpaces>4046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2024-01-24T05:39:00Z</dcterms:created>
  <dc:creator>机要科sqf</dc:creator>
  <cp:lastModifiedBy>机要科sqf</cp:lastModifiedBy>
  <dcterms:modified xsi:type="dcterms:W3CDTF">2024-01-25T03:47:48Z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A8A4D492D9B24E8B8DBEEE4B42731B83_13</vt:lpwstr>
  </property>
</Properties>
</file>