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2047875</wp:posOffset>
                </wp:positionH>
                <wp:positionV relativeFrom="paragraph">
                  <wp:posOffset>395605</wp:posOffset>
                </wp:positionV>
                <wp:extent cx="2686050" cy="989330"/>
                <wp:effectExtent l="5080" t="0" r="13970" b="1270"/>
                <wp:wrapNone/>
                <wp:docPr id="10" name="波形 10"/>
                <wp:cNvGraphicFramePr/>
                <a:graphic xmlns:a="http://schemas.openxmlformats.org/drawingml/2006/main">
                  <a:graphicData uri="http://schemas.microsoft.com/office/word/2010/wordprocessingShape">
                    <wps:wsp>
                      <wps:cNvSpPr/>
                      <wps:spPr>
                        <a:xfrm>
                          <a:off x="0" y="0"/>
                          <a:ext cx="2686050" cy="989330"/>
                        </a:xfrm>
                        <a:prstGeom prst="wave">
                          <a:avLst>
                            <a:gd name="adj1" fmla="val 12500"/>
                            <a:gd name="adj2" fmla="val 0"/>
                          </a:avLst>
                        </a:prstGeom>
                        <a:solidFill>
                          <a:srgbClr val="00B0F0">
                            <a:alpha val="92999"/>
                          </a:srgbClr>
                        </a:solidFill>
                        <a:ln w="9525" cap="flat" cmpd="sng">
                          <a:solidFill>
                            <a:srgbClr val="000000"/>
                          </a:solidFill>
                          <a:prstDash val="solid"/>
                          <a:headEnd type="none" w="med" len="med"/>
                          <a:tailEnd type="none" w="med" len="med"/>
                        </a:ln>
                      </wps:spPr>
                      <wps:txbx>
                        <w:txbxContent>
                          <w:p>
                            <w:pPr>
                              <w:jc w:val="center"/>
                              <w:rPr>
                                <w:rStyle w:val="6"/>
                                <w:rFonts w:hint="eastAsia" w:ascii="楷体" w:hAnsi="楷体" w:eastAsia="楷体" w:cs="楷体"/>
                                <w:b/>
                                <w:color w:val="000000" w:themeColor="text1"/>
                                <w:sz w:val="44"/>
                                <w:szCs w:val="44"/>
                                <w:lang w:val="en-US" w:eastAsia="zh-CN"/>
                                <w14:textFill>
                                  <w14:solidFill>
                                    <w14:schemeClr w14:val="tx1"/>
                                  </w14:solidFill>
                                </w14:textFill>
                              </w:rPr>
                            </w:pPr>
                            <w:r>
                              <w:rPr>
                                <w:rStyle w:val="6"/>
                                <w:rFonts w:hint="eastAsia" w:ascii="楷体" w:hAnsi="楷体" w:eastAsia="楷体" w:cs="楷体"/>
                                <w:b/>
                                <w:color w:val="000000" w:themeColor="text1"/>
                                <w:sz w:val="44"/>
                                <w:szCs w:val="44"/>
                                <w:lang w:val="en-US" w:eastAsia="zh-CN"/>
                                <w14:textFill>
                                  <w14:solidFill>
                                    <w14:schemeClr w14:val="tx1"/>
                                  </w14:solidFill>
                                </w14:textFill>
                              </w:rPr>
                              <w:t>主动公开发布渠道</w:t>
                            </w:r>
                          </w:p>
                        </w:txbxContent>
                      </wps:txbx>
                      <wps:bodyPr anchor="ctr" anchorCtr="0" upright="1"/>
                    </wps:wsp>
                  </a:graphicData>
                </a:graphic>
              </wp:anchor>
            </w:drawing>
          </mc:Choice>
          <mc:Fallback>
            <w:pict>
              <v:shape id="_x0000_s1026" o:spid="_x0000_s1026" o:spt="64" type="#_x0000_t64" style="position:absolute;left:0pt;margin-left:161.25pt;margin-top:31.15pt;height:77.9pt;width:211.5pt;z-index:251659264;v-text-anchor:middle;mso-width-relative:page;mso-height-relative:page;" fillcolor="#00B0F0" filled="t" stroked="t" coordsize="21600,21600" o:gfxdata="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SrfOktgAAAAKAQAADwAAAAAAAAABACAAAAAiAAAAZHJzL2Rvd25y&#10;ZXYueG1sUEsBAhQAFAAAAAgAh07iQPTzjd03AgAAqgQAAA4AAAAAAAAAAQAgAAAAJwEAAGRycy9l&#10;Mm9Eb2MueG1sUEsFBgAAAAAGAAYAWQEAANAFAAAAAA==&#10;" adj="2700,10800">
                <v:fill on="t" opacity="60947f" focussize="0,0"/>
                <v:stroke color="#000000" joinstyle="round"/>
                <v:imagedata o:title=""/>
                <o:lock v:ext="edit" aspectratio="f"/>
                <v:textbox>
                  <w:txbxContent>
                    <w:p>
                      <w:pPr>
                        <w:jc w:val="center"/>
                        <w:rPr>
                          <w:rStyle w:val="6"/>
                          <w:rFonts w:hint="eastAsia" w:ascii="楷体" w:hAnsi="楷体" w:eastAsia="楷体" w:cs="楷体"/>
                          <w:b/>
                          <w:color w:val="000000" w:themeColor="text1"/>
                          <w:sz w:val="44"/>
                          <w:szCs w:val="44"/>
                          <w:lang w:val="en-US" w:eastAsia="zh-CN"/>
                          <w14:textFill>
                            <w14:solidFill>
                              <w14:schemeClr w14:val="tx1"/>
                            </w14:solidFill>
                          </w14:textFill>
                        </w:rPr>
                      </w:pPr>
                      <w:r>
                        <w:rPr>
                          <w:rStyle w:val="6"/>
                          <w:rFonts w:hint="eastAsia" w:ascii="楷体" w:hAnsi="楷体" w:eastAsia="楷体" w:cs="楷体"/>
                          <w:b/>
                          <w:color w:val="000000" w:themeColor="text1"/>
                          <w:sz w:val="44"/>
                          <w:szCs w:val="44"/>
                          <w:lang w:val="en-US" w:eastAsia="zh-CN"/>
                          <w14:textFill>
                            <w14:solidFill>
                              <w14:schemeClr w14:val="tx1"/>
                            </w14:solidFill>
                          </w14:textFill>
                        </w:rPr>
                        <w:t>主动公开发布渠道</w:t>
                      </w:r>
                    </w:p>
                  </w:txbxContent>
                </v:textbox>
              </v:shape>
            </w:pict>
          </mc:Fallback>
        </mc:AlternateContent>
      </w:r>
      <w:r>
        <w:rPr>
          <w:rFonts w:hint="eastAsia" w:ascii="宋体" w:hAnsi="宋体" w:eastAsia="宋体" w:cs="宋体"/>
          <w:sz w:val="44"/>
          <w:szCs w:val="44"/>
        </w:rPr>
        <w:t>滕州市羊庄镇2022年度政府信息公开工作年度报告</w:t>
      </w:r>
      <w:r>
        <w:rPr>
          <w:rFonts w:hint="eastAsia" w:ascii="宋体" w:hAnsi="宋体" w:eastAsia="宋体" w:cs="宋体"/>
          <w:sz w:val="44"/>
          <w:szCs w:val="44"/>
          <w:lang w:val="en-US" w:eastAsia="zh-CN"/>
        </w:rPr>
        <w:t>解读</w:t>
      </w:r>
    </w:p>
    <w:p>
      <w:pPr>
        <w:rPr>
          <w:rFonts w:hint="default" w:eastAsiaTheme="minorEastAsia"/>
          <w:lang w:val="en-US" w:eastAsia="zh-CN"/>
        </w:rPr>
      </w:pPr>
    </w:p>
    <w:p>
      <w:pPr>
        <w:ind w:firstLine="640" w:firstLineChars="200"/>
        <w:rPr>
          <w:rFonts w:hint="eastAsia" w:ascii="仿宋_GB2312" w:hAnsi="仿宋_GB2312" w:eastAsia="仿宋_GB2312" w:cs="仿宋_GB2312"/>
          <w:sz w:val="32"/>
          <w:szCs w:val="32"/>
          <w:lang w:val="en-US" w:eastAsia="zh-CN"/>
        </w:rPr>
      </w:pPr>
    </w:p>
    <w:p>
      <w:pPr>
        <w:ind w:firstLine="640" w:firstLineChars="200"/>
        <w:rPr>
          <w:rFonts w:hint="eastAsia" w:ascii="仿宋_GB2312" w:hAnsi="仿宋_GB2312" w:eastAsia="仿宋_GB2312" w:cs="仿宋_GB2312"/>
          <w:sz w:val="32"/>
          <w:szCs w:val="32"/>
          <w:lang w:val="en-US" w:eastAsia="zh-CN"/>
        </w:rPr>
      </w:pP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羊庄镇人民政府主要通过滕州市政府信息公开、滕州市羊庄镇人民政府网站、微羊庄微信公众平台、微羊庄新浪微博账号等渠道，及时、准确地公开政府信息。</w:t>
      </w:r>
    </w:p>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6835140" cy="6835140"/>
            <wp:effectExtent l="0" t="0" r="3810" b="3810"/>
            <wp:docPr id="16" name="图片 16"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未命名"/>
                    <pic:cNvPicPr>
                      <a:picLocks noChangeAspect="1"/>
                    </pic:cNvPicPr>
                  </pic:nvPicPr>
                  <pic:blipFill>
                    <a:blip r:embed="rId4"/>
                    <a:stretch>
                      <a:fillRect/>
                    </a:stretch>
                  </pic:blipFill>
                  <pic:spPr>
                    <a:xfrm>
                      <a:off x="0" y="0"/>
                      <a:ext cx="6835140" cy="6835140"/>
                    </a:xfrm>
                    <a:prstGeom prst="rect">
                      <a:avLst/>
                    </a:prstGeom>
                  </pic:spPr>
                </pic:pic>
              </a:graphicData>
            </a:graphic>
          </wp:inline>
        </w:drawing>
      </w:r>
    </w:p>
    <w:p>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【主动公开信息渠道】</w:t>
      </w:r>
    </w:p>
    <w:p>
      <w:pPr>
        <w:jc w:val="center"/>
        <w:rPr>
          <w:rFonts w:hint="eastAsia" w:ascii="仿宋_GB2312" w:hAnsi="仿宋_GB2312" w:eastAsia="仿宋_GB2312" w:cs="仿宋_GB2312"/>
          <w:b/>
          <w:bCs/>
          <w:sz w:val="32"/>
          <w:szCs w:val="32"/>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2143125</wp:posOffset>
                </wp:positionH>
                <wp:positionV relativeFrom="paragraph">
                  <wp:posOffset>100330</wp:posOffset>
                </wp:positionV>
                <wp:extent cx="2686050" cy="989330"/>
                <wp:effectExtent l="5080" t="0" r="13970" b="1270"/>
                <wp:wrapNone/>
                <wp:docPr id="18" name="波形 18"/>
                <wp:cNvGraphicFramePr/>
                <a:graphic xmlns:a="http://schemas.openxmlformats.org/drawingml/2006/main">
                  <a:graphicData uri="http://schemas.microsoft.com/office/word/2010/wordprocessingShape">
                    <wps:wsp>
                      <wps:cNvSpPr/>
                      <wps:spPr>
                        <a:xfrm>
                          <a:off x="0" y="0"/>
                          <a:ext cx="2686050" cy="989330"/>
                        </a:xfrm>
                        <a:prstGeom prst="wave">
                          <a:avLst>
                            <a:gd name="adj1" fmla="val 12500"/>
                            <a:gd name="adj2" fmla="val 0"/>
                          </a:avLst>
                        </a:prstGeom>
                        <a:solidFill>
                          <a:srgbClr val="00B0F0">
                            <a:alpha val="92999"/>
                          </a:srgbClr>
                        </a:solidFill>
                        <a:ln w="9525" cap="flat" cmpd="sng">
                          <a:solidFill>
                            <a:srgbClr val="000000"/>
                          </a:solidFill>
                          <a:prstDash val="solid"/>
                          <a:headEnd type="none" w="med" len="med"/>
                          <a:tailEnd type="none" w="med" len="med"/>
                        </a:ln>
                      </wps:spPr>
                      <wps:txb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eastAsia" w:ascii="楷体" w:hAnsi="楷体" w:eastAsia="楷体" w:cs="楷体"/>
                                <w:b/>
                                <w:color w:val="000000" w:themeColor="text1"/>
                                <w:sz w:val="44"/>
                                <w:szCs w:val="44"/>
                                <w:lang w:val="en-US" w:eastAsia="zh-CN"/>
                                <w14:textFill>
                                  <w14:solidFill>
                                    <w14:schemeClr w14:val="tx1"/>
                                  </w14:solidFill>
                                </w14:textFill>
                              </w:rPr>
                              <w:t>主动公开信息分布</w:t>
                            </w:r>
                          </w:p>
                        </w:txbxContent>
                      </wps:txbx>
                      <wps:bodyPr anchor="ctr" anchorCtr="0" upright="1"/>
                    </wps:wsp>
                  </a:graphicData>
                </a:graphic>
              </wp:anchor>
            </w:drawing>
          </mc:Choice>
          <mc:Fallback>
            <w:pict>
              <v:shape id="_x0000_s1026" o:spid="_x0000_s1026" o:spt="64" type="#_x0000_t64" style="position:absolute;left:0pt;margin-left:168.75pt;margin-top:7.9pt;height:77.9pt;width:211.5pt;z-index:251660288;v-text-anchor:middle;mso-width-relative:page;mso-height-relative:page;" fillcolor="#00B0F0" filled="t" stroked="t" coordsize="21600,21600" o:gfxdata="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Bpxcz1gAAAAoBAAAPAAAAAAAAAAEAIAAAACIAAABkcnMvZG93bnJl&#10;di54bWxQSwECFAAUAAAACACHTuJApv9MrzgCAACqBAAADgAAAAAAAAABACAAAAAlAQAAZHJzL2Uy&#10;b0RvYy54bWxQSwUGAAAAAAYABgBZAQAAzwUAAAAA&#10;" adj="2700,10800">
                <v:fill on="t" opacity="60947f" focussize="0,0"/>
                <v:stroke color="#000000" joinstyle="round"/>
                <v:imagedata o:title=""/>
                <o:lock v:ext="edit" aspectratio="f"/>
                <v:textbo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eastAsia" w:ascii="楷体" w:hAnsi="楷体" w:eastAsia="楷体" w:cs="楷体"/>
                          <w:b/>
                          <w:color w:val="000000" w:themeColor="text1"/>
                          <w:sz w:val="44"/>
                          <w:szCs w:val="44"/>
                          <w:lang w:val="en-US" w:eastAsia="zh-CN"/>
                          <w14:textFill>
                            <w14:solidFill>
                              <w14:schemeClr w14:val="tx1"/>
                            </w14:solidFill>
                          </w14:textFill>
                        </w:rPr>
                        <w:t>主动公开信息分布</w:t>
                      </w:r>
                    </w:p>
                  </w:txbxContent>
                </v:textbox>
              </v:shape>
            </w:pict>
          </mc:Fallback>
        </mc:AlternateContent>
      </w:r>
    </w:p>
    <w:p>
      <w:pPr>
        <w:ind w:firstLine="640" w:firstLineChars="200"/>
        <w:rPr>
          <w:rFonts w:hint="default" w:ascii="仿宋_GB2312" w:hAnsi="仿宋_GB2312" w:eastAsia="仿宋_GB2312" w:cs="仿宋_GB2312"/>
          <w:sz w:val="32"/>
          <w:szCs w:val="32"/>
          <w:lang w:val="en-US" w:eastAsia="zh-CN"/>
        </w:rPr>
      </w:pPr>
    </w:p>
    <w:p>
      <w:pPr>
        <w:ind w:firstLine="640" w:firstLineChars="200"/>
        <w:rPr>
          <w:rFonts w:hint="default" w:ascii="仿宋_GB2312" w:hAnsi="仿宋_GB2312" w:eastAsia="仿宋_GB2312" w:cs="仿宋_GB2312"/>
          <w:sz w:val="32"/>
          <w:szCs w:val="32"/>
          <w:lang w:val="en-US" w:eastAsia="zh-CN"/>
        </w:rPr>
      </w:pPr>
    </w:p>
    <w:p>
      <w:p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通过滕州市羊庄镇人民政府网站发布信息283篇，通过微信公众平台发布信息1843篇，通过新浪微博发布信息227篇，通过信息公开网站主动公开政府信息数22条，其中，通知公告3条，政策文件3条，规划计划3篇，组织管理11篇，公开基本目录2篇。</w:t>
      </w:r>
    </w:p>
    <w:p>
      <w:pPr>
        <w:ind w:firstLine="640" w:firstLineChars="2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4189095" cy="2668270"/>
            <wp:effectExtent l="0" t="0" r="1905" b="17780"/>
            <wp:docPr id="19" name="图片 1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6"/>
                    <pic:cNvPicPr>
                      <a:picLocks noChangeAspect="1"/>
                    </pic:cNvPicPr>
                  </pic:nvPicPr>
                  <pic:blipFill>
                    <a:blip r:embed="rId5"/>
                    <a:stretch>
                      <a:fillRect/>
                    </a:stretch>
                  </pic:blipFill>
                  <pic:spPr>
                    <a:xfrm>
                      <a:off x="0" y="0"/>
                      <a:ext cx="4189095" cy="2668270"/>
                    </a:xfrm>
                    <a:prstGeom prst="rect">
                      <a:avLst/>
                    </a:prstGeom>
                  </pic:spPr>
                </pic:pic>
              </a:graphicData>
            </a:graphic>
          </wp:inline>
        </w:drawing>
      </w:r>
    </w:p>
    <w:p>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【主动公开信息渠道分布】</w:t>
      </w:r>
    </w:p>
    <w:p>
      <w:pPr>
        <w:jc w:val="center"/>
        <w:rPr>
          <w:rFonts w:hint="eastAsia" w:ascii="仿宋_GB2312" w:hAnsi="仿宋_GB2312" w:eastAsia="仿宋_GB2312" w:cs="仿宋_GB2312"/>
          <w:b/>
          <w:bCs/>
          <w:sz w:val="32"/>
          <w:szCs w:val="32"/>
          <w:lang w:val="en-US" w:eastAsia="zh-CN"/>
        </w:rPr>
      </w:pPr>
    </w:p>
    <w:p>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drawing>
          <wp:inline distT="0" distB="0" distL="114300" distR="114300">
            <wp:extent cx="4565650" cy="2743200"/>
            <wp:effectExtent l="0" t="0" r="6350" b="0"/>
            <wp:docPr id="20" name="图片 2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2"/>
                    <pic:cNvPicPr>
                      <a:picLocks noChangeAspect="1"/>
                    </pic:cNvPicPr>
                  </pic:nvPicPr>
                  <pic:blipFill>
                    <a:blip r:embed="rId6"/>
                    <a:stretch>
                      <a:fillRect/>
                    </a:stretch>
                  </pic:blipFill>
                  <pic:spPr>
                    <a:xfrm>
                      <a:off x="0" y="0"/>
                      <a:ext cx="4565650" cy="2743200"/>
                    </a:xfrm>
                    <a:prstGeom prst="rect">
                      <a:avLst/>
                    </a:prstGeom>
                  </pic:spPr>
                </pic:pic>
              </a:graphicData>
            </a:graphic>
          </wp:inline>
        </w:drawing>
      </w:r>
    </w:p>
    <w:p>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【政府信息公开网站发布信息类型分布】</w:t>
      </w:r>
    </w:p>
    <w:p>
      <w:pPr>
        <w:jc w:val="center"/>
        <w:rPr>
          <w:rFonts w:hint="eastAsia" w:ascii="仿宋_GB2312" w:hAnsi="仿宋_GB2312" w:eastAsia="仿宋_GB2312" w:cs="仿宋_GB2312"/>
          <w:b/>
          <w:bCs/>
          <w:sz w:val="32"/>
          <w:szCs w:val="32"/>
          <w:lang w:val="en-US" w:eastAsia="zh-CN"/>
        </w:rPr>
      </w:pPr>
    </w:p>
    <w:p>
      <w:pPr>
        <w:jc w:val="center"/>
        <w:rPr>
          <w:rFonts w:hint="eastAsia" w:ascii="仿宋_GB2312" w:hAnsi="仿宋_GB2312" w:eastAsia="仿宋_GB2312" w:cs="仿宋_GB2312"/>
          <w:b/>
          <w:bCs/>
          <w:sz w:val="32"/>
          <w:szCs w:val="32"/>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1343025</wp:posOffset>
                </wp:positionH>
                <wp:positionV relativeFrom="paragraph">
                  <wp:posOffset>367030</wp:posOffset>
                </wp:positionV>
                <wp:extent cx="4457065" cy="989330"/>
                <wp:effectExtent l="5080" t="0" r="14605" b="1270"/>
                <wp:wrapNone/>
                <wp:docPr id="22" name="波形 22"/>
                <wp:cNvGraphicFramePr/>
                <a:graphic xmlns:a="http://schemas.openxmlformats.org/drawingml/2006/main">
                  <a:graphicData uri="http://schemas.microsoft.com/office/word/2010/wordprocessingShape">
                    <wps:wsp>
                      <wps:cNvSpPr/>
                      <wps:spPr>
                        <a:xfrm>
                          <a:off x="0" y="0"/>
                          <a:ext cx="4457065" cy="989330"/>
                        </a:xfrm>
                        <a:prstGeom prst="wave">
                          <a:avLst>
                            <a:gd name="adj1" fmla="val 12500"/>
                            <a:gd name="adj2" fmla="val 0"/>
                          </a:avLst>
                        </a:prstGeom>
                        <a:solidFill>
                          <a:srgbClr val="00B0F0">
                            <a:alpha val="92999"/>
                          </a:srgbClr>
                        </a:solidFill>
                        <a:ln w="9525" cap="flat" cmpd="sng">
                          <a:solidFill>
                            <a:srgbClr val="000000"/>
                          </a:solidFill>
                          <a:prstDash val="solid"/>
                          <a:headEnd type="none" w="med" len="med"/>
                          <a:tailEnd type="none" w="med" len="med"/>
                        </a:ln>
                      </wps:spPr>
                      <wps:txb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eastAsia" w:ascii="楷体" w:hAnsi="楷体" w:eastAsia="楷体" w:cs="楷体"/>
                                <w:b/>
                                <w:color w:val="000000" w:themeColor="text1"/>
                                <w:sz w:val="44"/>
                                <w:szCs w:val="44"/>
                                <w:lang w:val="en-US" w:eastAsia="zh-CN"/>
                                <w14:textFill>
                                  <w14:solidFill>
                                    <w14:schemeClr w14:val="tx1"/>
                                  </w14:solidFill>
                                </w14:textFill>
                              </w:rPr>
                              <w:t>依申请公开、行政复议、行政诉讼</w:t>
                            </w:r>
                          </w:p>
                        </w:txbxContent>
                      </wps:txbx>
                      <wps:bodyPr anchor="ctr" anchorCtr="0" upright="1"/>
                    </wps:wsp>
                  </a:graphicData>
                </a:graphic>
              </wp:anchor>
            </w:drawing>
          </mc:Choice>
          <mc:Fallback>
            <w:pict>
              <v:shape id="_x0000_s1026" o:spid="_x0000_s1026" o:spt="64" type="#_x0000_t64" style="position:absolute;left:0pt;margin-left:105.75pt;margin-top:28.9pt;height:77.9pt;width:350.95pt;z-index:251661312;v-text-anchor:middle;mso-width-relative:page;mso-height-relative:page;" fillcolor="#00B0F0" filled="t" stroked="t" coordsize="21600,21600" o:gfxdata="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xAt5j1wAAAAoBAAAPAAAAAAAAAAEAIAAAACIAAABkcnMvZG93&#10;bnJldi54bWxQSwECFAAUAAAACACHTuJAprH/bzoCAACqBAAADgAAAAAAAAABACAAAAAmAQAAZHJz&#10;L2Uyb0RvYy54bWxQSwUGAAAAAAYABgBZAQAA0gUAAAAA&#10;" adj="2700,10800">
                <v:fill on="t" opacity="60947f" focussize="0,0"/>
                <v:stroke color="#000000" joinstyle="round"/>
                <v:imagedata o:title=""/>
                <o:lock v:ext="edit" aspectratio="f"/>
                <v:textbo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eastAsia" w:ascii="楷体" w:hAnsi="楷体" w:eastAsia="楷体" w:cs="楷体"/>
                          <w:b/>
                          <w:color w:val="000000" w:themeColor="text1"/>
                          <w:sz w:val="44"/>
                          <w:szCs w:val="44"/>
                          <w:lang w:val="en-US" w:eastAsia="zh-CN"/>
                          <w14:textFill>
                            <w14:solidFill>
                              <w14:schemeClr w14:val="tx1"/>
                            </w14:solidFill>
                          </w14:textFill>
                        </w:rPr>
                        <w:t>依申请公开、行政复议、行政诉讼</w:t>
                      </w:r>
                    </w:p>
                  </w:txbxContent>
                </v:textbox>
              </v:shape>
            </w:pict>
          </mc:Fallback>
        </mc:AlternateContent>
      </w: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2022年，羊庄镇人民政府共办理0条依申请公开政府信息事项。本年度无因政府信息公开工作被申请行政复议、提起行政诉讼情况。</w:t>
      </w:r>
    </w:p>
    <w:p>
      <w:pPr>
        <w:ind w:firstLine="640" w:firstLineChars="200"/>
        <w:jc w:val="left"/>
        <w:rPr>
          <w:rFonts w:hint="eastAsia" w:ascii="仿宋_GB2312" w:hAnsi="仿宋_GB2312" w:eastAsia="仿宋_GB2312" w:cs="仿宋_GB2312"/>
          <w:b w:val="0"/>
          <w:bCs w:val="0"/>
          <w:sz w:val="32"/>
          <w:szCs w:val="32"/>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2199640</wp:posOffset>
                </wp:positionH>
                <wp:positionV relativeFrom="paragraph">
                  <wp:posOffset>170815</wp:posOffset>
                </wp:positionV>
                <wp:extent cx="2697480" cy="989330"/>
                <wp:effectExtent l="5080" t="0" r="21590" b="1270"/>
                <wp:wrapNone/>
                <wp:docPr id="23" name="波形 23"/>
                <wp:cNvGraphicFramePr/>
                <a:graphic xmlns:a="http://schemas.openxmlformats.org/drawingml/2006/main">
                  <a:graphicData uri="http://schemas.microsoft.com/office/word/2010/wordprocessingShape">
                    <wps:wsp>
                      <wps:cNvSpPr/>
                      <wps:spPr>
                        <a:xfrm>
                          <a:off x="0" y="0"/>
                          <a:ext cx="2697480" cy="989330"/>
                        </a:xfrm>
                        <a:prstGeom prst="wave">
                          <a:avLst>
                            <a:gd name="adj1" fmla="val 12500"/>
                            <a:gd name="adj2" fmla="val 0"/>
                          </a:avLst>
                        </a:prstGeom>
                        <a:solidFill>
                          <a:srgbClr val="00B0F0">
                            <a:alpha val="92999"/>
                          </a:srgbClr>
                        </a:solidFill>
                        <a:ln w="9525" cap="flat" cmpd="sng">
                          <a:solidFill>
                            <a:srgbClr val="000000"/>
                          </a:solidFill>
                          <a:prstDash val="solid"/>
                          <a:headEnd type="none" w="med" len="med"/>
                          <a:tailEnd type="none" w="med" len="med"/>
                        </a:ln>
                      </wps:spPr>
                      <wps:txb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default" w:ascii="楷体" w:hAnsi="楷体" w:eastAsia="楷体" w:cs="楷体"/>
                                <w:b/>
                                <w:color w:val="000000" w:themeColor="text1"/>
                                <w:sz w:val="44"/>
                                <w:szCs w:val="44"/>
                                <w:lang w:val="en-US" w:eastAsia="zh-CN"/>
                                <w14:textFill>
                                  <w14:solidFill>
                                    <w14:schemeClr w14:val="tx1"/>
                                  </w14:solidFill>
                                </w14:textFill>
                              </w:rPr>
                              <w:t>政府信息管理情况</w:t>
                            </w:r>
                          </w:p>
                        </w:txbxContent>
                      </wps:txbx>
                      <wps:bodyPr anchor="ctr" anchorCtr="0" upright="1"/>
                    </wps:wsp>
                  </a:graphicData>
                </a:graphic>
              </wp:anchor>
            </w:drawing>
          </mc:Choice>
          <mc:Fallback>
            <w:pict>
              <v:shape id="_x0000_s1026" o:spid="_x0000_s1026" o:spt="64" type="#_x0000_t64" style="position:absolute;left:0pt;margin-left:173.2pt;margin-top:13.45pt;height:77.9pt;width:212.4pt;z-index:251662336;v-text-anchor:middle;mso-width-relative:page;mso-height-relative:page;" fillcolor="#00B0F0" filled="t" stroked="t" coordsize="21600,21600" o:gfxdata="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pKLlW9gAAAAKAQAADwAAAAAAAAABACAAAAAiAAAAZHJzL2Rv&#10;d25yZXYueG1sUEsBAhQAFAAAAAgAh07iQHFM5SA6AgAAqgQAAA4AAAAAAAAAAQAgAAAAJwEAAGRy&#10;cy9lMm9Eb2MueG1sUEsFBgAAAAAGAAYAWQEAANMFAAAAAA==&#10;" adj="2700,10800">
                <v:fill on="t" opacity="60947f" focussize="0,0"/>
                <v:stroke color="#000000" joinstyle="round"/>
                <v:imagedata o:title=""/>
                <o:lock v:ext="edit" aspectratio="f"/>
                <v:textbo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default" w:ascii="楷体" w:hAnsi="楷体" w:eastAsia="楷体" w:cs="楷体"/>
                          <w:b/>
                          <w:color w:val="000000" w:themeColor="text1"/>
                          <w:sz w:val="44"/>
                          <w:szCs w:val="44"/>
                          <w:lang w:val="en-US" w:eastAsia="zh-CN"/>
                          <w14:textFill>
                            <w14:solidFill>
                              <w14:schemeClr w14:val="tx1"/>
                            </w14:solidFill>
                          </w14:textFill>
                        </w:rPr>
                        <w:t>政府信息管理情况</w:t>
                      </w:r>
                    </w:p>
                  </w:txbxContent>
                </v:textbox>
              </v:shape>
            </w:pict>
          </mc:Fallback>
        </mc:AlternateContent>
      </w: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羊庄镇人民政府结合工作实际，按省、枣庄、滕州两级市政府信息公开工作要求，不断优化政府信息公开工作制度和工作措施。成立了羊庄镇政府信息公开工作领导小组，加强对政府信息公开工作的领导和实施，全面推进全镇政府信息公开工作。镇党政办公室、宣传信息室、精神文明室具体负责信息公开的汇总、审核、公布和受理申请等工作，严格开展政府信息公开内容审查。2022年度，无违反规定和失泄密情况。</w:t>
      </w:r>
    </w:p>
    <w:p>
      <w:pPr>
        <w:ind w:firstLine="640" w:firstLineChars="200"/>
        <w:jc w:val="left"/>
        <w:rPr>
          <w:rFonts w:hint="eastAsia" w:ascii="仿宋_GB2312" w:hAnsi="仿宋_GB2312" w:eastAsia="仿宋_GB2312" w:cs="仿宋_GB2312"/>
          <w:b w:val="0"/>
          <w:bCs w:val="0"/>
          <w:sz w:val="32"/>
          <w:szCs w:val="32"/>
          <w:lang w:val="en-US" w:eastAsia="zh-CN"/>
        </w:rPr>
      </w:pPr>
      <w:r>
        <w:rPr>
          <w:sz w:val="32"/>
        </w:rPr>
        <mc:AlternateContent>
          <mc:Choice Requires="wps">
            <w:drawing>
              <wp:anchor distT="0" distB="0" distL="114300" distR="114300" simplePos="0" relativeHeight="251663360" behindDoc="0" locked="0" layoutInCell="1" allowOverlap="1">
                <wp:simplePos x="0" y="0"/>
                <wp:positionH relativeFrom="column">
                  <wp:posOffset>2237740</wp:posOffset>
                </wp:positionH>
                <wp:positionV relativeFrom="paragraph">
                  <wp:posOffset>157480</wp:posOffset>
                </wp:positionV>
                <wp:extent cx="2697480" cy="989330"/>
                <wp:effectExtent l="5080" t="0" r="21590" b="1270"/>
                <wp:wrapNone/>
                <wp:docPr id="24" name="波形 24"/>
                <wp:cNvGraphicFramePr/>
                <a:graphic xmlns:a="http://schemas.openxmlformats.org/drawingml/2006/main">
                  <a:graphicData uri="http://schemas.microsoft.com/office/word/2010/wordprocessingShape">
                    <wps:wsp>
                      <wps:cNvSpPr/>
                      <wps:spPr>
                        <a:xfrm>
                          <a:off x="0" y="0"/>
                          <a:ext cx="2697480" cy="989330"/>
                        </a:xfrm>
                        <a:prstGeom prst="wave">
                          <a:avLst>
                            <a:gd name="adj1" fmla="val 12500"/>
                            <a:gd name="adj2" fmla="val 0"/>
                          </a:avLst>
                        </a:prstGeom>
                        <a:solidFill>
                          <a:srgbClr val="00B0F0">
                            <a:alpha val="92999"/>
                          </a:srgbClr>
                        </a:solidFill>
                        <a:ln w="9525" cap="flat" cmpd="sng">
                          <a:solidFill>
                            <a:srgbClr val="000000"/>
                          </a:solidFill>
                          <a:prstDash val="solid"/>
                          <a:headEnd type="none" w="med" len="med"/>
                          <a:tailEnd type="none" w="med" len="med"/>
                        </a:ln>
                      </wps:spPr>
                      <wps:txb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default" w:ascii="楷体" w:hAnsi="楷体" w:eastAsia="楷体" w:cs="楷体"/>
                                <w:b/>
                                <w:color w:val="000000" w:themeColor="text1"/>
                                <w:sz w:val="44"/>
                                <w:szCs w:val="44"/>
                                <w:lang w:val="en-US" w:eastAsia="zh-CN"/>
                                <w14:textFill>
                                  <w14:solidFill>
                                    <w14:schemeClr w14:val="tx1"/>
                                  </w14:solidFill>
                                </w14:textFill>
                              </w:rPr>
                              <w:t>公开平台建设情况</w:t>
                            </w:r>
                          </w:p>
                        </w:txbxContent>
                      </wps:txbx>
                      <wps:bodyPr anchor="ctr" anchorCtr="0" upright="1"/>
                    </wps:wsp>
                  </a:graphicData>
                </a:graphic>
              </wp:anchor>
            </w:drawing>
          </mc:Choice>
          <mc:Fallback>
            <w:pict>
              <v:shape id="_x0000_s1026" o:spid="_x0000_s1026" o:spt="64" type="#_x0000_t64" style="position:absolute;left:0pt;margin-left:176.2pt;margin-top:12.4pt;height:77.9pt;width:212.4pt;z-index:251663360;v-text-anchor:middle;mso-width-relative:page;mso-height-relative:page;" fillcolor="#00B0F0" filled="t" stroked="t" coordsize="21600,21600" o:gfxdata="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Gw0W2tgAAAAKAQAADwAAAAAAAAABACAAAAAiAAAAZHJzL2Rv&#10;d25yZXYueG1sUEsBAhQAFAAAAAgAh07iQHZqCZA6AgAAqgQAAA4AAAAAAAAAAQAgAAAAJwEAAGRy&#10;cy9lMm9Eb2MueG1sUEsFBgAAAAAGAAYAWQEAANMFAAAAAA==&#10;" adj="2700,10800">
                <v:fill on="t" opacity="60947f" focussize="0,0"/>
                <v:stroke color="#000000" joinstyle="round"/>
                <v:imagedata o:title=""/>
                <o:lock v:ext="edit" aspectratio="f"/>
                <v:textbo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default" w:ascii="楷体" w:hAnsi="楷体" w:eastAsia="楷体" w:cs="楷体"/>
                          <w:b/>
                          <w:color w:val="000000" w:themeColor="text1"/>
                          <w:sz w:val="44"/>
                          <w:szCs w:val="44"/>
                          <w:lang w:val="en-US" w:eastAsia="zh-CN"/>
                          <w14:textFill>
                            <w14:solidFill>
                              <w14:schemeClr w14:val="tx1"/>
                            </w14:solidFill>
                          </w14:textFill>
                        </w:rPr>
                        <w:t>公开平台建设情况</w:t>
                      </w:r>
                    </w:p>
                  </w:txbxContent>
                </v:textbox>
              </v:shape>
            </w:pict>
          </mc:Fallback>
        </mc:AlternateContent>
      </w: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按照上级对政府信息平台建设工作的要求，结合工作实际，规范建设了滕州市羊庄镇人民政府门户网站，通过网站及时向社会发布羊庄镇的工作动态、通知公告等内容；同时开通了微羊庄微信公众号、微羊庄新浪微博账号及时、准确、全面地社会推送羊庄镇经济社会发展的相关信息。此外，还高标准建设了羊庄镇为民服务中心政务公开体验区，开展政府开放日等相关活动，提升群众政务公开参与度。</w:t>
      </w: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2475230</wp:posOffset>
                </wp:positionH>
                <wp:positionV relativeFrom="paragraph">
                  <wp:posOffset>90805</wp:posOffset>
                </wp:positionV>
                <wp:extent cx="2260600" cy="989330"/>
                <wp:effectExtent l="5080" t="0" r="20320" b="1270"/>
                <wp:wrapNone/>
                <wp:docPr id="26" name="波形 26"/>
                <wp:cNvGraphicFramePr/>
                <a:graphic xmlns:a="http://schemas.openxmlformats.org/drawingml/2006/main">
                  <a:graphicData uri="http://schemas.microsoft.com/office/word/2010/wordprocessingShape">
                    <wps:wsp>
                      <wps:cNvSpPr/>
                      <wps:spPr>
                        <a:xfrm>
                          <a:off x="0" y="0"/>
                          <a:ext cx="2260600" cy="989330"/>
                        </a:xfrm>
                        <a:prstGeom prst="wave">
                          <a:avLst>
                            <a:gd name="adj1" fmla="val 12500"/>
                            <a:gd name="adj2" fmla="val 0"/>
                          </a:avLst>
                        </a:prstGeom>
                        <a:solidFill>
                          <a:srgbClr val="00B0F0">
                            <a:alpha val="92999"/>
                          </a:srgbClr>
                        </a:solidFill>
                        <a:ln w="9525" cap="flat" cmpd="sng">
                          <a:solidFill>
                            <a:srgbClr val="000000"/>
                          </a:solidFill>
                          <a:prstDash val="solid"/>
                          <a:headEnd type="none" w="med" len="med"/>
                          <a:tailEnd type="none" w="med" len="med"/>
                        </a:ln>
                      </wps:spPr>
                      <wps:txb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default" w:ascii="楷体" w:hAnsi="楷体" w:eastAsia="楷体" w:cs="楷体"/>
                                <w:b/>
                                <w:color w:val="000000" w:themeColor="text1"/>
                                <w:sz w:val="44"/>
                                <w:szCs w:val="44"/>
                                <w:lang w:val="en-US" w:eastAsia="zh-CN"/>
                                <w14:textFill>
                                  <w14:solidFill>
                                    <w14:schemeClr w14:val="tx1"/>
                                  </w14:solidFill>
                                </w14:textFill>
                              </w:rPr>
                              <w:t>监督保障情况</w:t>
                            </w:r>
                          </w:p>
                        </w:txbxContent>
                      </wps:txbx>
                      <wps:bodyPr anchor="ctr" anchorCtr="0" upright="1"/>
                    </wps:wsp>
                  </a:graphicData>
                </a:graphic>
              </wp:anchor>
            </w:drawing>
          </mc:Choice>
          <mc:Fallback>
            <w:pict>
              <v:shape id="_x0000_s1026" o:spid="_x0000_s1026" o:spt="64" type="#_x0000_t64" style="position:absolute;left:0pt;margin-left:194.9pt;margin-top:7.15pt;height:77.9pt;width:178pt;z-index:251664384;v-text-anchor:middle;mso-width-relative:page;mso-height-relative:page;" fillcolor="#00B0F0" filled="t" stroked="t" coordsize="21600,21600" o:gfxdata="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48xTY1gAAAAoBAAAPAAAAAAAAAAEAIAAAACIAAABkcnMvZG93bnJl&#10;di54bWxQSwECFAAUAAAACACHTuJAZ8bvtDgCAACqBAAADgAAAAAAAAABACAAAAAlAQAAZHJzL2Uy&#10;b0RvYy54bWxQSwUGAAAAAAYABgBZAQAAzwUAAAAA&#10;" adj="2700,10800">
                <v:fill on="t" opacity="60947f" focussize="0,0"/>
                <v:stroke color="#000000" joinstyle="round"/>
                <v:imagedata o:title=""/>
                <o:lock v:ext="edit" aspectratio="f"/>
                <v:textbo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default" w:ascii="楷体" w:hAnsi="楷体" w:eastAsia="楷体" w:cs="楷体"/>
                          <w:b/>
                          <w:color w:val="000000" w:themeColor="text1"/>
                          <w:sz w:val="44"/>
                          <w:szCs w:val="44"/>
                          <w:lang w:val="en-US" w:eastAsia="zh-CN"/>
                          <w14:textFill>
                            <w14:solidFill>
                              <w14:schemeClr w14:val="tx1"/>
                            </w14:solidFill>
                          </w14:textFill>
                        </w:rPr>
                        <w:t>监督保障情况</w:t>
                      </w:r>
                    </w:p>
                  </w:txbxContent>
                </v:textbox>
              </v:shape>
            </w:pict>
          </mc:Fallback>
        </mc:AlternateContent>
      </w: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建立规范的问责体系健全制度，落实责任，羊庄镇结合工作实际，按全省、市政府信息公开工作要求，进一步细化政府信息公开相关制度和工作措施。建立健全政府信息上报制度、政府信息审核制度、政府信息公开保密审查制度。落实保密审查责任，规范审查程序。纳入2022年滕州市镇街政务公开工作考核，未进行社会评议，未发生责任追究情况。</w:t>
      </w:r>
    </w:p>
    <w:p>
      <w:pPr>
        <w:ind w:firstLine="640" w:firstLineChars="200"/>
        <w:jc w:val="left"/>
        <w:rPr>
          <w:rFonts w:hint="eastAsia" w:ascii="仿宋_GB2312" w:hAnsi="仿宋_GB2312" w:eastAsia="仿宋_GB2312" w:cs="仿宋_GB2312"/>
          <w:b w:val="0"/>
          <w:bCs w:val="0"/>
          <w:sz w:val="32"/>
          <w:szCs w:val="32"/>
          <w:lang w:val="en-US" w:eastAsia="zh-CN"/>
        </w:rPr>
      </w:pPr>
      <w:r>
        <w:rPr>
          <w:sz w:val="32"/>
        </w:rPr>
        <mc:AlternateContent>
          <mc:Choice Requires="wps">
            <w:drawing>
              <wp:anchor distT="0" distB="0" distL="114300" distR="114300" simplePos="0" relativeHeight="251665408" behindDoc="0" locked="0" layoutInCell="1" allowOverlap="1">
                <wp:simplePos x="0" y="0"/>
                <wp:positionH relativeFrom="column">
                  <wp:posOffset>1456690</wp:posOffset>
                </wp:positionH>
                <wp:positionV relativeFrom="paragraph">
                  <wp:posOffset>197485</wp:posOffset>
                </wp:positionV>
                <wp:extent cx="4269740" cy="989330"/>
                <wp:effectExtent l="5080" t="0" r="11430" b="1270"/>
                <wp:wrapNone/>
                <wp:docPr id="28" name="波形 28"/>
                <wp:cNvGraphicFramePr/>
                <a:graphic xmlns:a="http://schemas.openxmlformats.org/drawingml/2006/main">
                  <a:graphicData uri="http://schemas.microsoft.com/office/word/2010/wordprocessingShape">
                    <wps:wsp>
                      <wps:cNvSpPr/>
                      <wps:spPr>
                        <a:xfrm>
                          <a:off x="0" y="0"/>
                          <a:ext cx="4269740" cy="989330"/>
                        </a:xfrm>
                        <a:prstGeom prst="wave">
                          <a:avLst>
                            <a:gd name="adj1" fmla="val 12500"/>
                            <a:gd name="adj2" fmla="val 0"/>
                          </a:avLst>
                        </a:prstGeom>
                        <a:solidFill>
                          <a:srgbClr val="00B0F0">
                            <a:alpha val="92999"/>
                          </a:srgbClr>
                        </a:solidFill>
                        <a:ln w="9525" cap="flat" cmpd="sng">
                          <a:solidFill>
                            <a:srgbClr val="000000"/>
                          </a:solidFill>
                          <a:prstDash val="solid"/>
                          <a:headEnd type="none" w="med" len="med"/>
                          <a:tailEnd type="none" w="med" len="med"/>
                        </a:ln>
                      </wps:spPr>
                      <wps:txb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eastAsia" w:ascii="楷体" w:hAnsi="楷体" w:eastAsia="楷体" w:cs="楷体"/>
                                <w:b/>
                                <w:color w:val="000000" w:themeColor="text1"/>
                                <w:sz w:val="44"/>
                                <w:szCs w:val="44"/>
                                <w:lang w:val="en-US" w:eastAsia="zh-CN"/>
                                <w14:textFill>
                                  <w14:solidFill>
                                    <w14:schemeClr w14:val="tx1"/>
                                  </w14:solidFill>
                                </w14:textFill>
                              </w:rPr>
                              <w:t>存在的问题及下一步的改进措施</w:t>
                            </w:r>
                          </w:p>
                        </w:txbxContent>
                      </wps:txbx>
                      <wps:bodyPr anchor="ctr" anchorCtr="0" upright="1"/>
                    </wps:wsp>
                  </a:graphicData>
                </a:graphic>
              </wp:anchor>
            </w:drawing>
          </mc:Choice>
          <mc:Fallback>
            <w:pict>
              <v:shape id="_x0000_s1026" o:spid="_x0000_s1026" o:spt="64" type="#_x0000_t64" style="position:absolute;left:0pt;margin-left:114.7pt;margin-top:15.55pt;height:77.9pt;width:336.2pt;z-index:251665408;v-text-anchor:middle;mso-width-relative:page;mso-height-relative:page;" fillcolor="#00B0F0" filled="t" stroked="t" coordsize="21600,21600" o:gfxdata="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VO/pLXAAAACgEAAA8AAAAAAAAAAQAgAAAAIgAAAGRycy9kb3du&#10;cmV2LnhtbFBLAQIUABQAAAAIAIdO4kC75QjjOQIAAKoEAAAOAAAAAAAAAAEAIAAAACYBAABkcnMv&#10;ZTJvRG9jLnhtbFBLBQYAAAAABgAGAFkBAADRBQAAAAA=&#10;" adj="2700,10800">
                <v:fill on="t" opacity="60947f" focussize="0,0"/>
                <v:stroke color="#000000" joinstyle="round"/>
                <v:imagedata o:title=""/>
                <o:lock v:ext="edit" aspectratio="f"/>
                <v:textbox>
                  <w:txbxContent>
                    <w:p>
                      <w:pPr>
                        <w:jc w:val="center"/>
                        <w:rPr>
                          <w:rStyle w:val="6"/>
                          <w:rFonts w:hint="default" w:ascii="楷体" w:hAnsi="楷体" w:eastAsia="楷体" w:cs="楷体"/>
                          <w:b/>
                          <w:color w:val="000000" w:themeColor="text1"/>
                          <w:sz w:val="44"/>
                          <w:szCs w:val="44"/>
                          <w:lang w:val="en-US" w:eastAsia="zh-CN"/>
                          <w14:textFill>
                            <w14:solidFill>
                              <w14:schemeClr w14:val="tx1"/>
                            </w14:solidFill>
                          </w14:textFill>
                        </w:rPr>
                      </w:pPr>
                      <w:r>
                        <w:rPr>
                          <w:rStyle w:val="6"/>
                          <w:rFonts w:hint="eastAsia" w:ascii="楷体" w:hAnsi="楷体" w:eastAsia="楷体" w:cs="楷体"/>
                          <w:b/>
                          <w:color w:val="000000" w:themeColor="text1"/>
                          <w:sz w:val="44"/>
                          <w:szCs w:val="44"/>
                          <w:lang w:val="en-US" w:eastAsia="zh-CN"/>
                          <w14:textFill>
                            <w14:solidFill>
                              <w14:schemeClr w14:val="tx1"/>
                            </w14:solidFill>
                          </w14:textFill>
                        </w:rPr>
                        <w:t>存在的问题及下一步的改进措施</w:t>
                      </w:r>
                    </w:p>
                  </w:txbxContent>
                </v:textbox>
              </v:shape>
            </w:pict>
          </mc:Fallback>
        </mc:AlternateContent>
      </w: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2022年度，羊庄镇政府信息公开工作虽然取得了一定的成绩，但与先进镇街相比，与公众的政务信息需求相比，还存在差距。主要体现为：信息的全面性、公开的及时性、平台的便利性、工作人员的能力素质均有待提高。为此， 2023年政府信息公开工作我们将采取以下措施积极改进：</w:t>
      </w: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1、继续健全政府信息公开工作机制。不断规范政府信息主动公开工作机制、政府信息公开申请的受理机制和政府信息发布、保密、审查制度等。</w:t>
      </w: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继续做好政府信息主动公开工作。坚持把主动公开作为、常态工作，落实政府信息公开载体，进一步规范信息制作、发布流程。同时，继续按要求做好政府信息公开申请的答复和相关电话咨询，满足政府信息公开申请人的知情权。</w:t>
      </w: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继续做好从业人员能力素质提升工作。结合羊庄实际，采取多种形式，大力开展政务公开的宣传和培训工作，进一步提高相关职能部门工作人员对该项工作重要性的认识和处理具体工作的业务能力，为全面开展好政务信息公开工作奠定坚实的人力资源基础。</w:t>
      </w:r>
      <w:bookmarkStart w:id="0" w:name="_GoBack"/>
      <w:bookmarkEnd w:id="0"/>
    </w:p>
    <w:p>
      <w:pPr>
        <w:ind w:firstLine="640" w:firstLineChars="200"/>
        <w:jc w:val="left"/>
        <w:rPr>
          <w:rFonts w:hint="eastAsia" w:ascii="仿宋_GB2312" w:hAnsi="仿宋_GB2312" w:eastAsia="仿宋_GB2312" w:cs="仿宋_GB2312"/>
          <w:b w:val="0"/>
          <w:bCs w:val="0"/>
          <w:sz w:val="32"/>
          <w:szCs w:val="32"/>
          <w:lang w:val="en-US" w:eastAsia="zh-CN"/>
        </w:rPr>
      </w:pPr>
    </w:p>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kNTVlZGFmZTc4YzQzYWVlZGJlOTdmYjExYzBlNTQifQ=="/>
  </w:docVars>
  <w:rsids>
    <w:rsidRoot w:val="00000000"/>
    <w:rsid w:val="173D73E9"/>
    <w:rsid w:val="1B68668E"/>
    <w:rsid w:val="4DA609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6">
    <w:name w:val="_Style 2"/>
    <w:basedOn w:val="5"/>
    <w:qFormat/>
    <w:uiPriority w:val="19"/>
    <w:rPr>
      <w:i/>
      <w:iCs/>
      <w:color w:val="808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1217</Words>
  <Characters>1245</Characters>
  <Lines>0</Lines>
  <Paragraphs>0</Paragraphs>
  <TotalTime>8</TotalTime>
  <ScaleCrop>false</ScaleCrop>
  <LinksUpToDate>false</LinksUpToDate>
  <CharactersWithSpaces>1245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河畔</cp:lastModifiedBy>
  <dcterms:modified xsi:type="dcterms:W3CDTF">2023-01-18T09:36:40Z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F6B64F6D03504DCC9D06CE5F6E2EAA22</vt:lpwstr>
  </property>
</Properties>
</file>