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420"/>
        <w:jc w:val="right"/>
        <w:textAlignment w:val="auto"/>
        <w:rPr>
          <w:rFonts w:hint="eastAsia" w:ascii="方正小标宋简体" w:hAnsi="方正小标宋简体" w:eastAsia="方正小标宋简体" w:cs="方正小标宋简体"/>
          <w:color w:val="auto"/>
          <w:kern w:val="2"/>
          <w:sz w:val="44"/>
          <w:szCs w:val="44"/>
          <w:lang w:val="en-US" w:eastAsia="zh-CN" w:bidi="ar-SA"/>
        </w:rPr>
      </w:pPr>
    </w:p>
    <w:p>
      <w:pPr>
        <w:pStyle w:val="7"/>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420"/>
        <w:jc w:val="center"/>
        <w:textAlignment w:val="auto"/>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滕州市人民政府办公室2021年政府信息公开工作年度报告</w:t>
      </w:r>
    </w:p>
    <w:p>
      <w:pPr>
        <w:pStyle w:val="7"/>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jc w:val="both"/>
        <w:textAlignment w:val="auto"/>
        <w:rPr>
          <w:rFonts w:hint="eastAsia" w:ascii="仿宋_GB2312" w:eastAsia="仿宋_GB2312" w:hAnsiTheme="minorHAnsi" w:cstheme="minorBidi"/>
          <w:kern w:val="2"/>
          <w:sz w:val="32"/>
          <w:szCs w:val="32"/>
          <w:lang w:val="en-US" w:eastAsia="zh-CN" w:bidi="ar-SA"/>
        </w:rPr>
      </w:pPr>
    </w:p>
    <w:p>
      <w:pPr>
        <w:pStyle w:val="7"/>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按照《中华人民共和国政府信息公开条例》和《国务院办公厅政府信息与政务公开办公室关于印发</w:t>
      </w:r>
      <w:r>
        <w:rPr>
          <w:rFonts w:hint="default" w:ascii="仿宋_GB2312" w:eastAsia="仿宋_GB2312" w:cstheme="minorBidi"/>
          <w:kern w:val="2"/>
          <w:sz w:val="32"/>
          <w:szCs w:val="32"/>
          <w:lang w:val="en" w:eastAsia="zh-CN" w:bidi="ar-SA"/>
        </w:rPr>
        <w:t>&lt;</w:t>
      </w:r>
      <w:r>
        <w:rPr>
          <w:rFonts w:hint="eastAsia" w:ascii="仿宋_GB2312" w:eastAsia="仿宋_GB2312" w:hAnsiTheme="minorHAnsi" w:cstheme="minorBidi"/>
          <w:kern w:val="2"/>
          <w:sz w:val="32"/>
          <w:szCs w:val="32"/>
          <w:lang w:val="en-US" w:eastAsia="zh-CN" w:bidi="ar-SA"/>
        </w:rPr>
        <w:t>中华人民共和国政府信息公开工作年度报告格式</w:t>
      </w:r>
      <w:r>
        <w:rPr>
          <w:rFonts w:hint="default" w:ascii="仿宋_GB2312" w:eastAsia="仿宋_GB2312" w:cstheme="minorBidi"/>
          <w:kern w:val="2"/>
          <w:sz w:val="32"/>
          <w:szCs w:val="32"/>
          <w:lang w:val="en" w:eastAsia="zh-CN" w:bidi="ar-SA"/>
        </w:rPr>
        <w:t>&gt;</w:t>
      </w:r>
      <w:r>
        <w:rPr>
          <w:rFonts w:hint="eastAsia" w:ascii="仿宋_GB2312" w:eastAsia="仿宋_GB2312" w:hAnsiTheme="minorHAnsi" w:cstheme="minorBidi"/>
          <w:kern w:val="2"/>
          <w:sz w:val="32"/>
          <w:szCs w:val="32"/>
          <w:lang w:val="en-US" w:eastAsia="zh-CN" w:bidi="ar-SA"/>
        </w:rPr>
        <w:t>的通知》（国办公开办函〔</w:t>
      </w:r>
      <w:r>
        <w:rPr>
          <w:rFonts w:hint="eastAsia" w:ascii="仿宋_GB2312" w:eastAsia="仿宋_GB2312" w:cstheme="minorBidi"/>
          <w:kern w:val="2"/>
          <w:sz w:val="32"/>
          <w:szCs w:val="32"/>
          <w:lang w:val="en-US" w:eastAsia="zh-CN" w:bidi="ar-SA"/>
        </w:rPr>
        <w:t>202</w:t>
      </w:r>
      <w:r>
        <w:rPr>
          <w:rFonts w:hint="default" w:ascii="仿宋_GB2312" w:eastAsia="仿宋_GB2312" w:cstheme="minorBidi"/>
          <w:kern w:val="2"/>
          <w:sz w:val="32"/>
          <w:szCs w:val="32"/>
          <w:lang w:val="en" w:eastAsia="zh-CN" w:bidi="ar-SA"/>
        </w:rPr>
        <w:t>1</w:t>
      </w:r>
      <w:r>
        <w:rPr>
          <w:rFonts w:hint="eastAsia" w:ascii="仿宋_GB2312" w:eastAsia="仿宋_GB2312" w:hAnsiTheme="minorHAnsi" w:cstheme="minorBidi"/>
          <w:kern w:val="2"/>
          <w:sz w:val="32"/>
          <w:szCs w:val="32"/>
          <w:lang w:val="en-US" w:eastAsia="zh-CN" w:bidi="ar-SA"/>
        </w:rPr>
        <w:t>〕</w:t>
      </w:r>
      <w:r>
        <w:rPr>
          <w:rFonts w:hint="default" w:ascii="仿宋_GB2312" w:eastAsia="仿宋_GB2312" w:cstheme="minorBidi"/>
          <w:kern w:val="2"/>
          <w:sz w:val="32"/>
          <w:szCs w:val="32"/>
          <w:lang w:val="en" w:eastAsia="zh-CN" w:bidi="ar-SA"/>
        </w:rPr>
        <w:t>30</w:t>
      </w:r>
      <w:r>
        <w:rPr>
          <w:rFonts w:hint="eastAsia" w:ascii="仿宋_GB2312" w:eastAsia="仿宋_GB2312" w:hAnsiTheme="minorHAnsi" w:cstheme="minorBidi"/>
          <w:kern w:val="2"/>
          <w:sz w:val="32"/>
          <w:szCs w:val="32"/>
          <w:lang w:val="en-US" w:eastAsia="zh-CN" w:bidi="ar-SA"/>
        </w:rPr>
        <w:t>号）</w:t>
      </w:r>
      <w:r>
        <w:rPr>
          <w:rFonts w:hint="eastAsia" w:ascii="仿宋_GB2312" w:eastAsia="仿宋_GB2312" w:cstheme="minorBidi"/>
          <w:kern w:val="2"/>
          <w:sz w:val="32"/>
          <w:szCs w:val="32"/>
          <w:lang w:val="en-US" w:eastAsia="zh-CN" w:bidi="ar-SA"/>
        </w:rPr>
        <w:t>以及</w:t>
      </w:r>
      <w:r>
        <w:rPr>
          <w:rFonts w:hint="eastAsia" w:ascii="仿宋_GB2312" w:eastAsia="仿宋_GB2312" w:hAnsiTheme="minorHAnsi" w:cstheme="minorBidi"/>
          <w:kern w:val="2"/>
          <w:sz w:val="32"/>
          <w:szCs w:val="32"/>
          <w:lang w:val="en-US" w:eastAsia="zh-CN" w:bidi="ar-SA"/>
        </w:rPr>
        <w:t>有关文件要求，</w:t>
      </w:r>
      <w:r>
        <w:rPr>
          <w:rFonts w:hint="eastAsia" w:ascii="仿宋_GB2312" w:eastAsia="仿宋_GB2312" w:cstheme="minorBidi"/>
          <w:kern w:val="2"/>
          <w:sz w:val="32"/>
          <w:szCs w:val="32"/>
          <w:lang w:val="en-US" w:eastAsia="zh-CN" w:bidi="ar-SA"/>
        </w:rPr>
        <w:t>结合</w:t>
      </w:r>
      <w:r>
        <w:rPr>
          <w:rFonts w:hint="eastAsia" w:ascii="仿宋_GB2312" w:eastAsia="仿宋_GB2312" w:hAnsiTheme="minorHAnsi" w:cstheme="minorBidi"/>
          <w:kern w:val="2"/>
          <w:sz w:val="32"/>
          <w:szCs w:val="32"/>
          <w:lang w:val="en-US" w:eastAsia="zh-CN" w:bidi="ar-SA"/>
        </w:rPr>
        <w:t>滕州市人民政府办公室202</w:t>
      </w:r>
      <w:r>
        <w:rPr>
          <w:rFonts w:hint="default" w:ascii="仿宋_GB2312" w:eastAsia="仿宋_GB2312" w:cstheme="minorBidi"/>
          <w:kern w:val="2"/>
          <w:sz w:val="32"/>
          <w:szCs w:val="32"/>
          <w:lang w:val="en" w:eastAsia="zh-CN" w:bidi="ar-SA"/>
        </w:rPr>
        <w:t>1</w:t>
      </w:r>
      <w:r>
        <w:rPr>
          <w:rFonts w:hint="eastAsia" w:ascii="仿宋_GB2312" w:eastAsia="仿宋_GB2312" w:hAnsiTheme="minorHAnsi" w:cstheme="minorBidi"/>
          <w:kern w:val="2"/>
          <w:sz w:val="32"/>
          <w:szCs w:val="32"/>
          <w:lang w:val="en-US" w:eastAsia="zh-CN" w:bidi="ar-SA"/>
        </w:rPr>
        <w:t>年度信息公开工作实际，编制了本报告。报告主要内容包括：总体情况、主动公开政府信息情况、收到和处理政府信息公开申请情况、政府信息公开行政复议、行政诉讼情况、存在的主要问题和改进情况</w:t>
      </w:r>
      <w:r>
        <w:rPr>
          <w:rFonts w:hint="eastAsia" w:ascii="仿宋_GB2312" w:eastAsia="仿宋_GB2312" w:cstheme="minorBidi"/>
          <w:kern w:val="2"/>
          <w:sz w:val="32"/>
          <w:szCs w:val="32"/>
          <w:lang w:val="en-US" w:eastAsia="zh-CN" w:bidi="ar-SA"/>
        </w:rPr>
        <w:t>和</w:t>
      </w:r>
      <w:r>
        <w:rPr>
          <w:rFonts w:hint="eastAsia" w:ascii="仿宋_GB2312" w:eastAsia="仿宋_GB2312" w:hAnsiTheme="minorHAnsi" w:cstheme="minorBidi"/>
          <w:kern w:val="2"/>
          <w:sz w:val="32"/>
          <w:szCs w:val="32"/>
          <w:lang w:val="en-US" w:eastAsia="zh-CN" w:bidi="ar-SA"/>
        </w:rPr>
        <w:t xml:space="preserve">其他需要报告的事项。本报告所列数据的统计时限自 </w:t>
      </w:r>
      <w:r>
        <w:rPr>
          <w:rFonts w:hint="eastAsia" w:ascii="仿宋_GB2312" w:eastAsia="仿宋_GB2312" w:cstheme="minorBidi"/>
          <w:kern w:val="2"/>
          <w:sz w:val="32"/>
          <w:szCs w:val="32"/>
          <w:lang w:val="en-US" w:eastAsia="zh-CN" w:bidi="ar-SA"/>
        </w:rPr>
        <w:t>2021</w:t>
      </w:r>
      <w:r>
        <w:rPr>
          <w:rFonts w:hint="eastAsia" w:ascii="仿宋_GB2312" w:eastAsia="仿宋_GB2312" w:hAnsiTheme="minorHAnsi" w:cstheme="minorBidi"/>
          <w:kern w:val="2"/>
          <w:sz w:val="32"/>
          <w:szCs w:val="32"/>
          <w:lang w:val="en-US" w:eastAsia="zh-CN" w:bidi="ar-SA"/>
        </w:rPr>
        <w:t>年1月1日起至</w:t>
      </w:r>
      <w:r>
        <w:rPr>
          <w:rFonts w:hint="eastAsia" w:ascii="仿宋_GB2312" w:eastAsia="仿宋_GB2312" w:cstheme="minorBidi"/>
          <w:kern w:val="2"/>
          <w:sz w:val="32"/>
          <w:szCs w:val="32"/>
          <w:lang w:val="en-US" w:eastAsia="zh-CN" w:bidi="ar-SA"/>
        </w:rPr>
        <w:t>2021</w:t>
      </w:r>
      <w:r>
        <w:rPr>
          <w:rFonts w:hint="eastAsia" w:ascii="仿宋_GB2312" w:eastAsia="仿宋_GB2312" w:hAnsiTheme="minorHAnsi" w:cstheme="minorBidi"/>
          <w:kern w:val="2"/>
          <w:sz w:val="32"/>
          <w:szCs w:val="32"/>
          <w:lang w:val="en-US" w:eastAsia="zh-CN" w:bidi="ar-SA"/>
        </w:rPr>
        <w:t>年12月31日止。</w:t>
      </w:r>
    </w:p>
    <w:p>
      <w:pPr>
        <w:pStyle w:val="7"/>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jc w:val="both"/>
        <w:textAlignment w:val="auto"/>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一、总体情况</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（一）主动公开情况。</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2" w:firstLineChars="200"/>
        <w:jc w:val="left"/>
        <w:textAlignment w:val="auto"/>
        <w:rPr>
          <w:rFonts w:hint="eastAsia" w:ascii="仿宋_GB2312" w:eastAsia="仿宋_GB2312" w:cstheme="minorBidi"/>
          <w:kern w:val="2"/>
          <w:sz w:val="32"/>
          <w:szCs w:val="32"/>
          <w:highlight w:val="none"/>
          <w:lang w:val="en-US" w:eastAsia="zh-CN" w:bidi="ar-SA"/>
        </w:rPr>
      </w:pPr>
      <w:r>
        <w:rPr>
          <w:rFonts w:hint="eastAsia" w:ascii="仿宋_GB2312" w:eastAsia="仿宋_GB2312" w:cstheme="minorBidi"/>
          <w:b/>
          <w:bCs/>
          <w:kern w:val="2"/>
          <w:sz w:val="32"/>
          <w:szCs w:val="32"/>
          <w:highlight w:val="none"/>
          <w:lang w:val="en-US" w:eastAsia="zh-CN" w:bidi="ar-SA"/>
        </w:rPr>
        <w:t>拓宽公开广度，加强公开力度。</w:t>
      </w:r>
      <w:r>
        <w:rPr>
          <w:rFonts w:hint="eastAsia" w:ascii="仿宋_GB2312" w:eastAsia="仿宋_GB2312" w:cstheme="minorBidi"/>
          <w:kern w:val="2"/>
          <w:sz w:val="32"/>
          <w:szCs w:val="32"/>
          <w:highlight w:val="none"/>
          <w:lang w:val="en-US" w:eastAsia="zh-CN" w:bidi="ar-SA"/>
        </w:rPr>
        <w:t>2021</w:t>
      </w:r>
      <w:r>
        <w:rPr>
          <w:rFonts w:hint="eastAsia" w:ascii="仿宋_GB2312" w:eastAsia="仿宋_GB2312" w:hAnsiTheme="minorHAnsi" w:cstheme="minorBidi"/>
          <w:kern w:val="2"/>
          <w:sz w:val="32"/>
          <w:szCs w:val="32"/>
          <w:highlight w:val="none"/>
          <w:lang w:val="en-US" w:eastAsia="zh-CN" w:bidi="ar-SA"/>
        </w:rPr>
        <w:t>年，</w:t>
      </w:r>
      <w:r>
        <w:rPr>
          <w:rFonts w:hint="eastAsia" w:ascii="仿宋_GB2312" w:eastAsia="仿宋_GB2312" w:cstheme="minorBidi"/>
          <w:kern w:val="2"/>
          <w:sz w:val="32"/>
          <w:szCs w:val="32"/>
          <w:highlight w:val="none"/>
          <w:lang w:val="en-US" w:eastAsia="zh-CN" w:bidi="ar-SA"/>
        </w:rPr>
        <w:t>政府办公室</w:t>
      </w:r>
      <w:r>
        <w:rPr>
          <w:rFonts w:hint="eastAsia" w:ascii="仿宋_GB2312" w:eastAsia="仿宋_GB2312" w:hAnsiTheme="minorHAnsi" w:cstheme="minorBidi"/>
          <w:kern w:val="2"/>
          <w:sz w:val="32"/>
          <w:szCs w:val="32"/>
          <w:highlight w:val="none"/>
          <w:lang w:val="en-US" w:eastAsia="zh-CN" w:bidi="ar-SA"/>
        </w:rPr>
        <w:t>主动公开基本信息共</w:t>
      </w:r>
      <w:r>
        <w:rPr>
          <w:rFonts w:hint="eastAsia" w:ascii="仿宋_GB2312" w:eastAsia="仿宋_GB2312" w:cstheme="minorBidi"/>
          <w:kern w:val="2"/>
          <w:sz w:val="32"/>
          <w:szCs w:val="32"/>
          <w:highlight w:val="none"/>
          <w:lang w:val="en-US" w:eastAsia="zh-CN" w:bidi="ar-SA"/>
        </w:rPr>
        <w:t>478</w:t>
      </w:r>
      <w:r>
        <w:rPr>
          <w:rFonts w:hint="eastAsia" w:ascii="仿宋_GB2312" w:eastAsia="仿宋_GB2312" w:hAnsiTheme="minorHAnsi" w:cstheme="minorBidi"/>
          <w:kern w:val="2"/>
          <w:sz w:val="32"/>
          <w:szCs w:val="32"/>
          <w:highlight w:val="none"/>
          <w:lang w:val="en-US" w:eastAsia="zh-CN" w:bidi="ar-SA"/>
        </w:rPr>
        <w:t>条。其中，</w:t>
      </w:r>
      <w:r>
        <w:rPr>
          <w:rFonts w:hint="eastAsia" w:ascii="仿宋_GB2312" w:eastAsia="仿宋_GB2312" w:cstheme="minorBidi"/>
          <w:kern w:val="2"/>
          <w:sz w:val="32"/>
          <w:szCs w:val="32"/>
          <w:highlight w:val="none"/>
          <w:lang w:val="en-US" w:eastAsia="zh-CN" w:bidi="ar-SA"/>
        </w:rPr>
        <w:t>机构职能2</w:t>
      </w:r>
      <w:r>
        <w:rPr>
          <w:rFonts w:hint="eastAsia" w:ascii="仿宋_GB2312" w:eastAsia="仿宋_GB2312" w:hAnsiTheme="minorHAnsi" w:cstheme="minorBidi"/>
          <w:kern w:val="2"/>
          <w:sz w:val="32"/>
          <w:szCs w:val="32"/>
          <w:highlight w:val="none"/>
          <w:lang w:val="en-US" w:eastAsia="zh-CN" w:bidi="ar-SA"/>
        </w:rPr>
        <w:t>条；</w:t>
      </w:r>
      <w:r>
        <w:rPr>
          <w:rFonts w:hint="eastAsia" w:ascii="仿宋_GB2312" w:eastAsia="仿宋_GB2312" w:cstheme="minorBidi"/>
          <w:kern w:val="2"/>
          <w:sz w:val="32"/>
          <w:szCs w:val="32"/>
          <w:highlight w:val="none"/>
          <w:lang w:val="en-US" w:eastAsia="zh-CN" w:bidi="ar-SA"/>
        </w:rPr>
        <w:t>通知公告6条；重大决策预公开9条；政策文件类46条；政策解读86条；政府开放日活动32条；政务公开专区专栏39条；历史规划5条；</w:t>
      </w:r>
      <w:r>
        <w:rPr>
          <w:rFonts w:hint="eastAsia" w:ascii="仿宋_GB2312" w:eastAsia="仿宋_GB2312" w:hAnsiTheme="minorHAnsi" w:cstheme="minorBidi"/>
          <w:kern w:val="2"/>
          <w:sz w:val="32"/>
          <w:szCs w:val="32"/>
          <w:highlight w:val="none"/>
          <w:lang w:val="en-US" w:eastAsia="zh-CN" w:bidi="ar-SA"/>
        </w:rPr>
        <w:t>人事</w:t>
      </w:r>
      <w:r>
        <w:rPr>
          <w:rFonts w:hint="eastAsia" w:ascii="仿宋_GB2312" w:eastAsia="仿宋_GB2312" w:cstheme="minorBidi"/>
          <w:kern w:val="2"/>
          <w:sz w:val="32"/>
          <w:szCs w:val="32"/>
          <w:highlight w:val="none"/>
          <w:lang w:val="en-US" w:eastAsia="zh-CN" w:bidi="ar-SA"/>
        </w:rPr>
        <w:t>任免类18</w:t>
      </w:r>
      <w:r>
        <w:rPr>
          <w:rFonts w:hint="eastAsia" w:ascii="仿宋_GB2312" w:eastAsia="仿宋_GB2312" w:hAnsiTheme="minorHAnsi" w:cstheme="minorBidi"/>
          <w:kern w:val="2"/>
          <w:sz w:val="32"/>
          <w:szCs w:val="32"/>
          <w:highlight w:val="none"/>
          <w:lang w:val="en-US" w:eastAsia="zh-CN" w:bidi="ar-SA"/>
        </w:rPr>
        <w:t>条，</w:t>
      </w:r>
      <w:r>
        <w:rPr>
          <w:rFonts w:hint="eastAsia" w:ascii="仿宋_GB2312" w:eastAsia="仿宋_GB2312" w:cstheme="minorBidi"/>
          <w:kern w:val="2"/>
          <w:sz w:val="32"/>
          <w:szCs w:val="32"/>
          <w:highlight w:val="none"/>
          <w:lang w:val="en-US" w:eastAsia="zh-CN" w:bidi="ar-SA"/>
        </w:rPr>
        <w:t>财政信息5条；建议提案办理总体情况2条；各领域目录8条；组织管理类34条；会议公开及解读115条；政府公报信息71条。</w:t>
      </w:r>
    </w:p>
    <w:p>
      <w:pPr>
        <w:pStyle w:val="2"/>
        <w:rPr>
          <w:rFonts w:hint="eastAsia"/>
          <w:lang w:eastAsia="zh-CN"/>
        </w:rPr>
      </w:pPr>
      <w:r>
        <w:rPr>
          <w:rFonts w:hint="eastAsia" w:ascii="仿宋_GB2312" w:hAnsi="仿宋_GB2312" w:eastAsia="仿宋_GB2312" w:cs="仿宋_GB2312"/>
          <w:sz w:val="32"/>
          <w:szCs w:val="32"/>
          <w:lang w:eastAsia="zh-CN"/>
        </w:rPr>
        <w:drawing>
          <wp:inline distT="0" distB="0" distL="114300" distR="114300">
            <wp:extent cx="5080000" cy="3810000"/>
            <wp:effectExtent l="0" t="0" r="6350" b="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eastAsia="仿宋_GB2312" w:hAnsiTheme="minorHAnsi" w:cstheme="minorBidi"/>
          <w:b/>
          <w:bCs/>
          <w:kern w:val="2"/>
          <w:sz w:val="32"/>
          <w:szCs w:val="32"/>
          <w:highlight w:val="none"/>
          <w:lang w:val="en-US" w:eastAsia="zh-CN" w:bidi="ar-SA"/>
        </w:rPr>
      </w:pPr>
      <w:r>
        <w:drawing>
          <wp:anchor distT="0" distB="0" distL="114300" distR="114300" simplePos="0" relativeHeight="251662336" behindDoc="1" locked="0" layoutInCell="1" allowOverlap="1">
            <wp:simplePos x="0" y="0"/>
            <wp:positionH relativeFrom="column">
              <wp:posOffset>102870</wp:posOffset>
            </wp:positionH>
            <wp:positionV relativeFrom="page">
              <wp:posOffset>5721985</wp:posOffset>
            </wp:positionV>
            <wp:extent cx="5271135" cy="3140075"/>
            <wp:effectExtent l="0" t="0" r="5715" b="3175"/>
            <wp:wrapTight wrapText="bothSides">
              <wp:wrapPolygon>
                <wp:start x="0" y="0"/>
                <wp:lineTo x="0" y="21491"/>
                <wp:lineTo x="21545" y="21491"/>
                <wp:lineTo x="21545" y="0"/>
                <wp:lineTo x="0" y="0"/>
              </wp:wrapPolygon>
            </wp:wrapTight>
            <wp:docPr id="5"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true"/>
                    </pic:cNvPicPr>
                  </pic:nvPicPr>
                  <pic:blipFill>
                    <a:blip r:embed="rId7"/>
                    <a:stretch>
                      <a:fillRect/>
                    </a:stretch>
                  </pic:blipFill>
                  <pic:spPr>
                    <a:xfrm>
                      <a:off x="0" y="0"/>
                      <a:ext cx="5271135" cy="3140075"/>
                    </a:xfrm>
                    <a:prstGeom prst="rect">
                      <a:avLst/>
                    </a:prstGeom>
                    <a:noFill/>
                    <a:ln>
                      <a:noFill/>
                    </a:ln>
                  </pic:spPr>
                </pic:pic>
              </a:graphicData>
            </a:graphic>
          </wp:anchor>
        </w:drawing>
      </w:r>
      <w:r>
        <w:rPr>
          <w:rFonts w:hint="eastAsia" w:ascii="仿宋_GB2312" w:eastAsia="仿宋_GB2312" w:hAnsiTheme="minorHAnsi" w:cstheme="minorBidi"/>
          <w:b/>
          <w:bCs/>
          <w:kern w:val="2"/>
          <w:sz w:val="32"/>
          <w:szCs w:val="32"/>
          <w:highlight w:val="none"/>
          <w:lang w:val="en-US" w:eastAsia="zh-CN" w:bidi="ar-SA"/>
        </w:rPr>
        <w:t>滕州市</w:t>
      </w:r>
      <w:r>
        <w:rPr>
          <w:rFonts w:hint="eastAsia" w:ascii="仿宋_GB2312" w:eastAsia="仿宋_GB2312" w:cstheme="minorBidi"/>
          <w:b/>
          <w:bCs/>
          <w:kern w:val="2"/>
          <w:sz w:val="32"/>
          <w:szCs w:val="32"/>
          <w:highlight w:val="none"/>
          <w:lang w:val="en-US" w:eastAsia="zh-CN" w:bidi="ar-SA"/>
        </w:rPr>
        <w:t>人民政府办公室2021</w:t>
      </w:r>
      <w:r>
        <w:rPr>
          <w:rFonts w:hint="eastAsia" w:ascii="仿宋_GB2312" w:eastAsia="仿宋_GB2312" w:hAnsiTheme="minorHAnsi" w:cstheme="minorBidi"/>
          <w:b/>
          <w:bCs/>
          <w:kern w:val="2"/>
          <w:sz w:val="32"/>
          <w:szCs w:val="32"/>
          <w:highlight w:val="none"/>
          <w:lang w:val="en-US" w:eastAsia="zh-CN" w:bidi="ar-SA"/>
        </w:rPr>
        <w:t>年基本信息主动公开情况</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lang w:val="en-US" w:eastAsia="zh-CN"/>
        </w:rPr>
      </w:pPr>
      <w:r>
        <w:rPr>
          <w:rFonts w:hint="eastAsia"/>
          <w:lang w:val="en-US" w:eastAsia="zh-CN"/>
        </w:rPr>
        <w:t xml:space="preserve">   </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lang w:val="en-US" w:eastAsia="zh-CN"/>
        </w:rPr>
      </w:pPr>
      <w:r>
        <w:rPr>
          <w:rFonts w:hint="eastAsia"/>
          <w:lang w:val="en-US" w:eastAsia="zh-CN"/>
        </w:rPr>
        <w:t xml:space="preserve">     </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lang w:val="en-US" w:eastAsia="zh-CN"/>
        </w:rPr>
      </w:pP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lang w:val="en-US" w:eastAsia="zh-CN"/>
        </w:rPr>
      </w:pPr>
      <w:r>
        <w:drawing>
          <wp:anchor distT="0" distB="0" distL="114300" distR="114300" simplePos="0" relativeHeight="251675648" behindDoc="0" locked="0" layoutInCell="1" allowOverlap="1">
            <wp:simplePos x="0" y="0"/>
            <wp:positionH relativeFrom="column">
              <wp:posOffset>99695</wp:posOffset>
            </wp:positionH>
            <wp:positionV relativeFrom="page">
              <wp:posOffset>4074795</wp:posOffset>
            </wp:positionV>
            <wp:extent cx="5232400" cy="2279015"/>
            <wp:effectExtent l="0" t="0" r="6350" b="6985"/>
            <wp:wrapSquare wrapText="bothSides"/>
            <wp:docPr id="9"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true"/>
                    </pic:cNvPicPr>
                  </pic:nvPicPr>
                  <pic:blipFill>
                    <a:blip r:embed="rId8"/>
                    <a:stretch>
                      <a:fillRect/>
                    </a:stretch>
                  </pic:blipFill>
                  <pic:spPr>
                    <a:xfrm>
                      <a:off x="0" y="0"/>
                      <a:ext cx="5232400" cy="2279015"/>
                    </a:xfrm>
                    <a:prstGeom prst="rect">
                      <a:avLst/>
                    </a:prstGeom>
                    <a:noFill/>
                    <a:ln>
                      <a:noFill/>
                    </a:ln>
                  </pic:spPr>
                </pic:pic>
              </a:graphicData>
            </a:graphic>
          </wp:anchor>
        </w:drawing>
      </w:r>
      <w:r>
        <w:drawing>
          <wp:anchor distT="0" distB="0" distL="114300" distR="114300" simplePos="0" relativeHeight="251667456" behindDoc="0" locked="0" layoutInCell="1" allowOverlap="1">
            <wp:simplePos x="0" y="0"/>
            <wp:positionH relativeFrom="column">
              <wp:posOffset>96520</wp:posOffset>
            </wp:positionH>
            <wp:positionV relativeFrom="page">
              <wp:posOffset>1012190</wp:posOffset>
            </wp:positionV>
            <wp:extent cx="5109845" cy="2817495"/>
            <wp:effectExtent l="0" t="0" r="14605" b="1905"/>
            <wp:wrapSquare wrapText="bothSides"/>
            <wp:docPr id="8"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true"/>
                    </pic:cNvPicPr>
                  </pic:nvPicPr>
                  <pic:blipFill>
                    <a:blip r:embed="rId9"/>
                    <a:stretch>
                      <a:fillRect/>
                    </a:stretch>
                  </pic:blipFill>
                  <pic:spPr>
                    <a:xfrm>
                      <a:off x="0" y="0"/>
                      <a:ext cx="5109845" cy="2817495"/>
                    </a:xfrm>
                    <a:prstGeom prst="rect">
                      <a:avLst/>
                    </a:prstGeom>
                    <a:noFill/>
                    <a:ln>
                      <a:noFill/>
                    </a:ln>
                  </pic:spPr>
                </pic:pic>
              </a:graphicData>
            </a:graphic>
          </wp:anchor>
        </w:drawing>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lang w:val="en-US" w:eastAsia="zh-CN"/>
        </w:rPr>
      </w:pPr>
      <w:r>
        <w:drawing>
          <wp:anchor distT="0" distB="0" distL="114300" distR="114300" simplePos="0" relativeHeight="251676672" behindDoc="1" locked="0" layoutInCell="1" allowOverlap="1">
            <wp:simplePos x="0" y="0"/>
            <wp:positionH relativeFrom="column">
              <wp:posOffset>-41910</wp:posOffset>
            </wp:positionH>
            <wp:positionV relativeFrom="page">
              <wp:posOffset>6784340</wp:posOffset>
            </wp:positionV>
            <wp:extent cx="5270500" cy="2372995"/>
            <wp:effectExtent l="0" t="0" r="6350" b="8255"/>
            <wp:wrapTight wrapText="bothSides">
              <wp:wrapPolygon>
                <wp:start x="0" y="0"/>
                <wp:lineTo x="0" y="21502"/>
                <wp:lineTo x="21548" y="21502"/>
                <wp:lineTo x="21548" y="0"/>
                <wp:lineTo x="0" y="0"/>
              </wp:wrapPolygon>
            </wp:wrapTight>
            <wp:docPr id="7"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true"/>
                    </pic:cNvPicPr>
                  </pic:nvPicPr>
                  <pic:blipFill>
                    <a:blip r:embed="rId10"/>
                    <a:stretch>
                      <a:fillRect/>
                    </a:stretch>
                  </pic:blipFill>
                  <pic:spPr>
                    <a:xfrm>
                      <a:off x="0" y="0"/>
                      <a:ext cx="5270500" cy="2372995"/>
                    </a:xfrm>
                    <a:prstGeom prst="rect">
                      <a:avLst/>
                    </a:prstGeom>
                    <a:noFill/>
                    <a:ln>
                      <a:noFill/>
                    </a:ln>
                  </pic:spPr>
                </pic:pic>
              </a:graphicData>
            </a:graphic>
          </wp:anchor>
        </w:drawing>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2" w:firstLineChars="200"/>
        <w:jc w:val="both"/>
        <w:textAlignment w:val="auto"/>
        <w:rPr>
          <w:rFonts w:hint="default"/>
          <w:lang w:val="en-US" w:eastAsia="zh-CN"/>
        </w:rPr>
      </w:pPr>
      <w:r>
        <w:rPr>
          <w:rFonts w:hint="eastAsia" w:ascii="仿宋_GB2312" w:hAnsi="仿宋_GB2312" w:eastAsia="仿宋_GB2312" w:cs="仿宋_GB2312"/>
          <w:b/>
          <w:bCs/>
          <w:sz w:val="32"/>
          <w:szCs w:val="32"/>
          <w:lang w:eastAsia="zh-CN"/>
        </w:rPr>
        <w:t>创新解读方式，展现多样形式。</w:t>
      </w:r>
      <w:r>
        <w:rPr>
          <w:rFonts w:hint="eastAsia" w:ascii="仿宋_GB2312" w:hAnsi="仿宋_GB2312" w:eastAsia="仿宋_GB2312" w:cs="仿宋_GB2312"/>
          <w:sz w:val="32"/>
          <w:szCs w:val="32"/>
          <w:lang w:val="en-US" w:eastAsia="zh-CN"/>
        </w:rPr>
        <w:t>2021年政府办公室严格落实上级政策解读要求，</w:t>
      </w:r>
      <w:r>
        <w:rPr>
          <w:rFonts w:hint="eastAsia" w:ascii="仿宋_GB2312" w:eastAsia="仿宋_GB2312"/>
          <w:snapToGrid w:val="0"/>
          <w:kern w:val="0"/>
          <w:sz w:val="32"/>
          <w:szCs w:val="32"/>
        </w:rPr>
        <w:t>全面精准解读相关政策，做好政策文件和解读方案、解读材料同步组织、同步审签、同步部署。</w:t>
      </w:r>
      <w:r>
        <w:rPr>
          <w:rFonts w:hint="eastAsia" w:ascii="仿宋_GB2312" w:hAnsi="仿宋_GB2312" w:eastAsia="仿宋_GB2312" w:cs="仿宋_GB2312"/>
          <w:sz w:val="32"/>
          <w:szCs w:val="32"/>
          <w:lang w:eastAsia="zh-CN"/>
        </w:rPr>
        <w:t>运用图解、视频、音频等多种方式，以</w:t>
      </w:r>
      <w:r>
        <w:rPr>
          <w:rFonts w:hint="eastAsia" w:ascii="仿宋_GB2312" w:eastAsia="仿宋_GB2312" w:cstheme="minorBidi"/>
          <w:kern w:val="2"/>
          <w:sz w:val="32"/>
          <w:szCs w:val="32"/>
          <w:highlight w:val="none"/>
          <w:lang w:val="en-US" w:eastAsia="zh-CN" w:bidi="ar-SA"/>
        </w:rPr>
        <w:t>群众</w:t>
      </w:r>
      <w:r>
        <w:rPr>
          <w:rFonts w:hint="eastAsia" w:ascii="仿宋_GB2312" w:hAnsi="仿宋_GB2312" w:eastAsia="仿宋_GB2312" w:cs="仿宋_GB2312"/>
          <w:sz w:val="32"/>
          <w:szCs w:val="32"/>
          <w:lang w:eastAsia="zh-CN"/>
        </w:rPr>
        <w:t>“看得见、听得懂”</w:t>
      </w:r>
      <w:r>
        <w:rPr>
          <w:rFonts w:hint="eastAsia" w:ascii="仿宋_GB2312" w:eastAsia="仿宋_GB2312" w:cstheme="minorBidi"/>
          <w:kern w:val="2"/>
          <w:sz w:val="32"/>
          <w:szCs w:val="32"/>
          <w:highlight w:val="none"/>
          <w:lang w:val="en-US" w:eastAsia="zh-CN" w:bidi="ar-SA"/>
        </w:rPr>
        <w:t>“能理解</w:t>
      </w:r>
      <w:r>
        <w:rPr>
          <w:rFonts w:hint="eastAsia" w:ascii="仿宋_GB2312" w:hAnsi="仿宋_GB2312" w:eastAsia="仿宋_GB2312" w:cs="仿宋_GB2312"/>
          <w:sz w:val="32"/>
          <w:szCs w:val="32"/>
          <w:lang w:eastAsia="zh-CN"/>
        </w:rPr>
        <w:t>的形式公开政府信息。</w:t>
      </w:r>
      <w:r>
        <w:rPr>
          <w:rFonts w:hint="eastAsia" w:ascii="仿宋_GB2312" w:eastAsia="仿宋_GB2312" w:cstheme="minorBidi"/>
          <w:kern w:val="2"/>
          <w:sz w:val="32"/>
          <w:szCs w:val="32"/>
          <w:highlight w:val="none"/>
          <w:lang w:val="en-US" w:eastAsia="zh-CN" w:bidi="ar-SA"/>
        </w:rPr>
        <w:t>在政策和会议解读方面，</w:t>
      </w:r>
      <w:r>
        <w:rPr>
          <w:rFonts w:hint="eastAsia" w:ascii="仿宋_GB2312" w:hAnsi="仿宋_GB2312" w:eastAsia="仿宋_GB2312" w:cs="仿宋_GB2312"/>
          <w:sz w:val="32"/>
          <w:szCs w:val="32"/>
          <w:lang w:eastAsia="zh-CN"/>
        </w:rPr>
        <w:t>全年解读会议</w:t>
      </w:r>
      <w:r>
        <w:rPr>
          <w:rFonts w:hint="eastAsia" w:ascii="仿宋_GB2312" w:hAnsi="仿宋_GB2312" w:eastAsia="仿宋_GB2312" w:cs="仿宋_GB2312"/>
          <w:sz w:val="32"/>
          <w:szCs w:val="32"/>
          <w:lang w:val="en-US" w:eastAsia="zh-CN"/>
        </w:rPr>
        <w:t>37次，其中政府常务会议16次，全体会议1次，专题会议20次。解读政策86篇，其中</w:t>
      </w:r>
      <w:r>
        <w:rPr>
          <w:rFonts w:hint="eastAsia" w:ascii="仿宋_GB2312" w:eastAsia="仿宋_GB2312" w:cstheme="minorBidi"/>
          <w:kern w:val="2"/>
          <w:sz w:val="32"/>
          <w:szCs w:val="32"/>
          <w:highlight w:val="none"/>
          <w:lang w:val="en-US" w:eastAsia="zh-CN" w:bidi="ar-SA"/>
        </w:rPr>
        <w:t>文字解读38篇，主要负责人解读9篇，新闻发布会6篇，简明问答4篇，图文解读19篇，音频解读6篇，视频解读4篇，真正做到</w:t>
      </w:r>
      <w:r>
        <w:rPr>
          <w:rFonts w:hint="eastAsia" w:ascii="仿宋_GB2312" w:hAnsi="仿宋_GB2312" w:eastAsia="仿宋_GB2312" w:cs="仿宋_GB2312"/>
          <w:sz w:val="32"/>
          <w:szCs w:val="32"/>
          <w:lang w:eastAsia="zh-CN"/>
        </w:rPr>
        <w:t>多</w:t>
      </w:r>
      <w:r>
        <w:rPr>
          <w:rFonts w:hint="eastAsia" w:ascii="仿宋_GB2312" w:hAnsi="仿宋_GB2312" w:eastAsia="仿宋_GB2312" w:cs="仿宋_GB2312"/>
          <w:spacing w:val="-6"/>
          <w:sz w:val="32"/>
          <w:szCs w:val="32"/>
          <w:lang w:eastAsia="zh-CN"/>
        </w:rPr>
        <w:t>渠道多形式政策创新性解读，为群众提供高质量的政府信息。</w:t>
      </w:r>
    </w:p>
    <w:p>
      <w:pPr>
        <w:pStyle w:val="6"/>
        <w:ind w:left="0" w:leftChars="0" w:firstLine="1280" w:firstLineChars="400"/>
        <w:jc w:val="both"/>
        <w:rPr>
          <w:rFonts w:hint="eastAsia" w:cstheme="minorBidi"/>
          <w:b/>
          <w:bCs/>
          <w:kern w:val="2"/>
          <w:sz w:val="32"/>
          <w:szCs w:val="32"/>
          <w:highlight w:val="none"/>
          <w:lang w:val="en-US" w:eastAsia="zh-CN" w:bidi="ar-SA"/>
        </w:rPr>
      </w:pPr>
      <w:r>
        <w:rPr>
          <w:rFonts w:hint="default" w:ascii="仿宋_GB2312" w:eastAsia="仿宋_GB2312" w:cstheme="minorBidi"/>
          <w:kern w:val="2"/>
          <w:sz w:val="32"/>
          <w:szCs w:val="32"/>
          <w:highlight w:val="none"/>
          <w:lang w:val="en-US" w:eastAsia="zh-CN" w:bidi="ar-SA"/>
        </w:rPr>
        <w:drawing>
          <wp:anchor distT="0" distB="0" distL="114300" distR="114300" simplePos="0" relativeHeight="251661312" behindDoc="0" locked="0" layoutInCell="1" allowOverlap="1">
            <wp:simplePos x="0" y="0"/>
            <wp:positionH relativeFrom="column">
              <wp:posOffset>200025</wp:posOffset>
            </wp:positionH>
            <wp:positionV relativeFrom="paragraph">
              <wp:posOffset>31750</wp:posOffset>
            </wp:positionV>
            <wp:extent cx="5074920" cy="4267200"/>
            <wp:effectExtent l="4445" t="4445" r="6985" b="1460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仿宋_GB2312" w:eastAsia="仿宋_GB2312" w:hAnsiTheme="minorHAnsi" w:cstheme="minorBidi"/>
          <w:b/>
          <w:bCs/>
          <w:kern w:val="2"/>
          <w:sz w:val="32"/>
          <w:szCs w:val="32"/>
          <w:highlight w:val="none"/>
          <w:lang w:val="en-US" w:eastAsia="zh-CN" w:bidi="ar-SA"/>
        </w:rPr>
        <w:t>滕州市</w:t>
      </w:r>
      <w:r>
        <w:rPr>
          <w:rFonts w:hint="eastAsia" w:ascii="仿宋_GB2312" w:eastAsia="仿宋_GB2312" w:cstheme="minorBidi"/>
          <w:b/>
          <w:bCs/>
          <w:kern w:val="2"/>
          <w:sz w:val="32"/>
          <w:szCs w:val="32"/>
          <w:highlight w:val="none"/>
          <w:lang w:val="en-US" w:eastAsia="zh-CN" w:bidi="ar-SA"/>
        </w:rPr>
        <w:t>人民政府办公室202</w:t>
      </w:r>
      <w:r>
        <w:rPr>
          <w:rFonts w:hint="eastAsia" w:cstheme="minorBidi"/>
          <w:b/>
          <w:bCs/>
          <w:kern w:val="2"/>
          <w:sz w:val="32"/>
          <w:szCs w:val="32"/>
          <w:highlight w:val="none"/>
          <w:lang w:val="en-US" w:eastAsia="zh-CN" w:bidi="ar-SA"/>
        </w:rPr>
        <w:t>1</w:t>
      </w:r>
      <w:r>
        <w:rPr>
          <w:rFonts w:hint="eastAsia" w:ascii="仿宋_GB2312" w:eastAsia="仿宋_GB2312" w:hAnsiTheme="minorHAnsi" w:cstheme="minorBidi"/>
          <w:b/>
          <w:bCs/>
          <w:kern w:val="2"/>
          <w:sz w:val="32"/>
          <w:szCs w:val="32"/>
          <w:highlight w:val="none"/>
          <w:lang w:val="en-US" w:eastAsia="zh-CN" w:bidi="ar-SA"/>
        </w:rPr>
        <w:t>年</w:t>
      </w:r>
      <w:r>
        <w:rPr>
          <w:rFonts w:hint="eastAsia" w:cstheme="minorBidi"/>
          <w:b/>
          <w:bCs/>
          <w:kern w:val="2"/>
          <w:sz w:val="32"/>
          <w:szCs w:val="32"/>
          <w:highlight w:val="none"/>
          <w:lang w:val="en-US" w:eastAsia="zh-CN" w:bidi="ar-SA"/>
        </w:rPr>
        <w:t>政策解读情况</w:t>
      </w:r>
    </w:p>
    <w:p>
      <w:pPr>
        <w:pStyle w:val="2"/>
        <w:rPr>
          <w:rFonts w:hint="eastAsia" w:ascii="楷体" w:hAnsi="楷体" w:eastAsia="楷体" w:cs="楷体"/>
          <w:kern w:val="2"/>
          <w:sz w:val="32"/>
          <w:szCs w:val="32"/>
          <w:lang w:val="en-US" w:eastAsia="zh-CN" w:bidi="ar-SA"/>
        </w:rPr>
      </w:pPr>
      <w:r>
        <w:drawing>
          <wp:inline distT="0" distB="0" distL="114300" distR="114300">
            <wp:extent cx="5269230" cy="2920365"/>
            <wp:effectExtent l="0" t="0" r="7620" b="13335"/>
            <wp:docPr id="6"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true"/>
                    </pic:cNvPicPr>
                  </pic:nvPicPr>
                  <pic:blipFill>
                    <a:blip r:embed="rId12"/>
                    <a:stretch>
                      <a:fillRect/>
                    </a:stretch>
                  </pic:blipFill>
                  <pic:spPr>
                    <a:xfrm>
                      <a:off x="0" y="0"/>
                      <a:ext cx="5269230" cy="2920365"/>
                    </a:xfrm>
                    <a:prstGeom prst="rect">
                      <a:avLst/>
                    </a:prstGeom>
                    <a:noFill/>
                    <a:ln>
                      <a:noFill/>
                    </a:ln>
                  </pic:spPr>
                </pic:pic>
              </a:graphicData>
            </a:graphic>
          </wp:inline>
        </w:drawing>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（二）依申请公开情况</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pacing w:val="-11"/>
          <w:sz w:val="32"/>
          <w:szCs w:val="32"/>
          <w:highlight w:val="none"/>
          <w:lang w:val="en-US" w:eastAsia="zh-CN"/>
        </w:rPr>
      </w:pPr>
      <w:r>
        <w:rPr>
          <w:rFonts w:hint="eastAsia" w:ascii="仿宋_GB2312" w:hAnsi="仿宋_GB2312" w:eastAsia="仿宋_GB2312" w:cs="仿宋_GB2312"/>
          <w:sz w:val="32"/>
          <w:szCs w:val="32"/>
          <w:lang w:val="en-US" w:eastAsia="zh-CN"/>
        </w:rPr>
        <w:t>2021年，滕州市人民政府办公室共受理58件政府信息公开申请，</w:t>
      </w:r>
      <w:r>
        <w:rPr>
          <w:rFonts w:hint="eastAsia" w:ascii="仿宋_GB2312" w:eastAsia="仿宋_GB2312"/>
          <w:color w:val="000000"/>
          <w:sz w:val="32"/>
          <w:szCs w:val="32"/>
          <w:lang w:eastAsia="zh-CN"/>
        </w:rPr>
        <w:t>其中当面申请</w:t>
      </w:r>
      <w:r>
        <w:rPr>
          <w:rFonts w:hint="eastAsia" w:ascii="仿宋_GB2312" w:eastAsia="仿宋_GB2312"/>
          <w:color w:val="000000"/>
          <w:sz w:val="32"/>
          <w:szCs w:val="32"/>
          <w:lang w:val="en-US" w:eastAsia="zh-CN"/>
        </w:rPr>
        <w:t>3件，</w:t>
      </w:r>
      <w:r>
        <w:rPr>
          <w:rFonts w:hint="eastAsia" w:ascii="仿宋_GB2312" w:eastAsia="仿宋_GB2312"/>
          <w:color w:val="000000"/>
          <w:sz w:val="32"/>
          <w:szCs w:val="32"/>
          <w:lang w:eastAsia="zh-CN"/>
        </w:rPr>
        <w:t>信函邮寄</w:t>
      </w:r>
      <w:r>
        <w:rPr>
          <w:rFonts w:hint="eastAsia" w:ascii="仿宋_GB2312" w:eastAsia="仿宋_GB2312"/>
          <w:color w:val="000000"/>
          <w:sz w:val="32"/>
          <w:szCs w:val="32"/>
          <w:lang w:val="en-US" w:eastAsia="zh-CN"/>
        </w:rPr>
        <w:t>17</w:t>
      </w:r>
      <w:r>
        <w:rPr>
          <w:rFonts w:hint="eastAsia" w:ascii="仿宋_GB2312" w:eastAsia="仿宋_GB2312"/>
          <w:color w:val="000000"/>
          <w:sz w:val="32"/>
          <w:szCs w:val="32"/>
          <w:lang w:eastAsia="zh-CN"/>
        </w:rPr>
        <w:t>件，平台申请</w:t>
      </w:r>
      <w:r>
        <w:rPr>
          <w:rFonts w:hint="eastAsia" w:ascii="仿宋_GB2312" w:eastAsia="仿宋_GB2312"/>
          <w:color w:val="000000"/>
          <w:sz w:val="32"/>
          <w:szCs w:val="32"/>
          <w:lang w:val="en-US" w:eastAsia="zh-CN"/>
        </w:rPr>
        <w:t>38</w:t>
      </w:r>
      <w:r>
        <w:rPr>
          <w:rFonts w:hint="eastAsia" w:ascii="仿宋_GB2312" w:eastAsia="仿宋_GB2312"/>
          <w:color w:val="000000"/>
          <w:sz w:val="32"/>
          <w:szCs w:val="32"/>
          <w:lang w:eastAsia="zh-CN"/>
        </w:rPr>
        <w:t>件</w:t>
      </w:r>
      <w:r>
        <w:rPr>
          <w:rFonts w:hint="eastAsia" w:ascii="仿宋_GB2312" w:eastAsia="仿宋_GB2312"/>
          <w:color w:val="000000"/>
          <w:sz w:val="32"/>
          <w:szCs w:val="32"/>
          <w:lang w:val="en-US" w:eastAsia="zh-CN"/>
        </w:rPr>
        <w:t>,</w:t>
      </w:r>
      <w:r>
        <w:rPr>
          <w:rFonts w:hint="eastAsia" w:ascii="仿宋_GB2312" w:eastAsia="仿宋_GB2312"/>
          <w:color w:val="000000"/>
          <w:sz w:val="32"/>
          <w:szCs w:val="32"/>
          <w:lang w:eastAsia="zh-CN"/>
        </w:rPr>
        <w:t>已全部办结。</w:t>
      </w:r>
      <w:r>
        <w:rPr>
          <w:rFonts w:hint="eastAsia" w:ascii="仿宋_GB2312" w:eastAsia="仿宋_GB2312" w:hAnsiTheme="minorHAnsi" w:cstheme="minorBidi"/>
          <w:kern w:val="2"/>
          <w:sz w:val="32"/>
          <w:szCs w:val="32"/>
          <w:highlight w:val="none"/>
          <w:lang w:val="en-US" w:eastAsia="zh-CN" w:bidi="ar-SA"/>
        </w:rPr>
        <w:t>其中予以公开</w:t>
      </w:r>
      <w:r>
        <w:rPr>
          <w:rFonts w:hint="eastAsia" w:ascii="仿宋_GB2312" w:eastAsia="仿宋_GB2312" w:cstheme="minorBidi"/>
          <w:kern w:val="2"/>
          <w:sz w:val="32"/>
          <w:szCs w:val="32"/>
          <w:highlight w:val="none"/>
          <w:lang w:val="en-US" w:eastAsia="zh-CN" w:bidi="ar-SA"/>
        </w:rPr>
        <w:t>14</w:t>
      </w:r>
      <w:r>
        <w:rPr>
          <w:rFonts w:hint="eastAsia" w:ascii="仿宋_GB2312" w:eastAsia="仿宋_GB2312" w:hAnsiTheme="minorHAnsi" w:cstheme="minorBidi"/>
          <w:kern w:val="2"/>
          <w:sz w:val="32"/>
          <w:szCs w:val="32"/>
          <w:highlight w:val="none"/>
          <w:lang w:val="en-US" w:eastAsia="zh-CN" w:bidi="ar-SA"/>
        </w:rPr>
        <w:t>件，</w:t>
      </w:r>
      <w:r>
        <w:rPr>
          <w:rFonts w:hint="eastAsia" w:ascii="仿宋_GB2312" w:eastAsia="仿宋_GB2312" w:cstheme="minorBidi"/>
          <w:kern w:val="2"/>
          <w:sz w:val="32"/>
          <w:szCs w:val="32"/>
          <w:highlight w:val="none"/>
          <w:lang w:val="en-US" w:eastAsia="zh-CN" w:bidi="ar-SA"/>
        </w:rPr>
        <w:t>部分公开10件，</w:t>
      </w:r>
      <w:r>
        <w:rPr>
          <w:rFonts w:hint="eastAsia" w:ascii="仿宋_GB2312" w:eastAsia="仿宋_GB2312" w:cstheme="minorBidi"/>
          <w:spacing w:val="-11"/>
          <w:kern w:val="2"/>
          <w:sz w:val="32"/>
          <w:szCs w:val="32"/>
          <w:highlight w:val="none"/>
          <w:lang w:val="en-US" w:eastAsia="zh-CN" w:bidi="ar-SA"/>
        </w:rPr>
        <w:t>不予公开1件，</w:t>
      </w:r>
      <w:r>
        <w:rPr>
          <w:rFonts w:hint="eastAsia" w:ascii="仿宋_GB2312" w:eastAsia="仿宋_GB2312" w:hAnsiTheme="minorHAnsi" w:cstheme="minorBidi"/>
          <w:spacing w:val="-11"/>
          <w:kern w:val="2"/>
          <w:sz w:val="32"/>
          <w:szCs w:val="32"/>
          <w:highlight w:val="none"/>
          <w:lang w:val="en-US" w:eastAsia="zh-CN" w:bidi="ar-SA"/>
        </w:rPr>
        <w:t>无法提供</w:t>
      </w:r>
      <w:r>
        <w:rPr>
          <w:rFonts w:hint="eastAsia" w:ascii="仿宋_GB2312" w:eastAsia="仿宋_GB2312" w:cstheme="minorBidi"/>
          <w:spacing w:val="-11"/>
          <w:kern w:val="2"/>
          <w:sz w:val="32"/>
          <w:szCs w:val="32"/>
          <w:highlight w:val="none"/>
          <w:lang w:val="en-US" w:eastAsia="zh-CN" w:bidi="ar-SA"/>
        </w:rPr>
        <w:t>21</w:t>
      </w:r>
      <w:r>
        <w:rPr>
          <w:rFonts w:hint="eastAsia" w:ascii="仿宋_GB2312" w:eastAsia="仿宋_GB2312" w:hAnsiTheme="minorHAnsi" w:cstheme="minorBidi"/>
          <w:spacing w:val="-11"/>
          <w:kern w:val="2"/>
          <w:sz w:val="32"/>
          <w:szCs w:val="32"/>
          <w:highlight w:val="none"/>
          <w:lang w:val="en-US" w:eastAsia="zh-CN" w:bidi="ar-SA"/>
        </w:rPr>
        <w:t>件，不予处理</w:t>
      </w:r>
      <w:r>
        <w:rPr>
          <w:rFonts w:hint="eastAsia" w:ascii="仿宋_GB2312" w:eastAsia="仿宋_GB2312" w:cstheme="minorBidi"/>
          <w:spacing w:val="-11"/>
          <w:kern w:val="2"/>
          <w:sz w:val="32"/>
          <w:szCs w:val="32"/>
          <w:highlight w:val="none"/>
          <w:lang w:val="en-US" w:eastAsia="zh-CN" w:bidi="ar-SA"/>
        </w:rPr>
        <w:t>9</w:t>
      </w:r>
      <w:r>
        <w:rPr>
          <w:rFonts w:hint="eastAsia" w:ascii="仿宋_GB2312" w:eastAsia="仿宋_GB2312" w:hAnsiTheme="minorHAnsi" w:cstheme="minorBidi"/>
          <w:spacing w:val="-11"/>
          <w:kern w:val="2"/>
          <w:sz w:val="32"/>
          <w:szCs w:val="32"/>
          <w:highlight w:val="none"/>
          <w:lang w:val="en-US" w:eastAsia="zh-CN" w:bidi="ar-SA"/>
        </w:rPr>
        <w:t>件，</w:t>
      </w:r>
      <w:r>
        <w:rPr>
          <w:rFonts w:hint="eastAsia" w:ascii="仿宋_GB2312" w:eastAsia="仿宋_GB2312" w:cstheme="minorBidi"/>
          <w:spacing w:val="-11"/>
          <w:kern w:val="2"/>
          <w:sz w:val="32"/>
          <w:szCs w:val="32"/>
          <w:highlight w:val="none"/>
          <w:lang w:val="en-US" w:eastAsia="zh-CN" w:bidi="ar-SA"/>
        </w:rPr>
        <w:t>其他处理3件</w:t>
      </w:r>
      <w:r>
        <w:rPr>
          <w:rFonts w:hint="eastAsia" w:ascii="仿宋_GB2312" w:hAnsi="仿宋_GB2312" w:eastAsia="仿宋_GB2312" w:cs="仿宋_GB2312"/>
          <w:spacing w:val="-11"/>
          <w:sz w:val="32"/>
          <w:szCs w:val="32"/>
          <w:highlight w:val="none"/>
          <w:lang w:val="en-US" w:eastAsia="zh-CN"/>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2" w:firstLineChars="200"/>
        <w:jc w:val="left"/>
        <w:textAlignment w:val="auto"/>
        <w:rPr>
          <w:rFonts w:hint="eastAsia" w:ascii="仿宋_GB2312" w:eastAsia="仿宋_GB2312"/>
          <w:color w:val="000000"/>
          <w:sz w:val="32"/>
          <w:szCs w:val="32"/>
          <w:lang w:val="en-US" w:eastAsia="zh-CN"/>
        </w:rPr>
      </w:pPr>
      <w:r>
        <w:rPr>
          <w:rFonts w:hint="eastAsia" w:ascii="仿宋_GB2312" w:eastAsia="仿宋_GB2312" w:hAnsiTheme="minorHAnsi" w:cstheme="minorBidi"/>
          <w:b/>
          <w:bCs/>
          <w:kern w:val="2"/>
          <w:sz w:val="32"/>
          <w:szCs w:val="32"/>
          <w:highlight w:val="none"/>
          <w:lang w:val="en-US" w:eastAsia="zh-CN" w:bidi="ar-SA"/>
        </w:rPr>
        <w:drawing>
          <wp:anchor distT="0" distB="0" distL="114300" distR="114300" simplePos="0" relativeHeight="251660288" behindDoc="0" locked="0" layoutInCell="1" allowOverlap="1">
            <wp:simplePos x="0" y="0"/>
            <wp:positionH relativeFrom="column">
              <wp:posOffset>86995</wp:posOffset>
            </wp:positionH>
            <wp:positionV relativeFrom="paragraph">
              <wp:posOffset>1102995</wp:posOffset>
            </wp:positionV>
            <wp:extent cx="4986655" cy="2428240"/>
            <wp:effectExtent l="4445" t="4445" r="19050" b="5715"/>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仿宋_GB2312" w:eastAsia="仿宋_GB2312"/>
          <w:color w:val="000000"/>
          <w:sz w:val="32"/>
          <w:szCs w:val="32"/>
          <w:lang w:val="en-US" w:eastAsia="zh-CN"/>
        </w:rPr>
        <w:t>2021年，政府办公室因信息公开被行政复议2次，结果维持1次，另1件尚未审结。未经行政复议直接诉讼1次，尚未审结。</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2" w:firstLineChars="200"/>
        <w:jc w:val="left"/>
        <w:textAlignment w:val="auto"/>
        <w:rPr>
          <w:rFonts w:hint="eastAsia" w:ascii="楷体" w:hAnsi="楷体" w:eastAsia="楷体" w:cs="楷体"/>
          <w:kern w:val="2"/>
          <w:sz w:val="32"/>
          <w:szCs w:val="32"/>
          <w:lang w:val="en-US" w:eastAsia="zh-CN" w:bidi="ar-SA"/>
        </w:rPr>
      </w:pPr>
      <w:r>
        <w:rPr>
          <w:rFonts w:hint="eastAsia" w:ascii="仿宋_GB2312" w:eastAsia="仿宋_GB2312" w:hAnsiTheme="minorHAnsi" w:cstheme="minorBidi"/>
          <w:b/>
          <w:bCs/>
          <w:kern w:val="2"/>
          <w:sz w:val="32"/>
          <w:szCs w:val="32"/>
          <w:highlight w:val="none"/>
          <w:lang w:val="en-US" w:eastAsia="zh-CN" w:bidi="ar-SA"/>
        </w:rPr>
        <w:t>滕州市</w:t>
      </w:r>
      <w:r>
        <w:rPr>
          <w:rFonts w:hint="eastAsia" w:ascii="仿宋_GB2312" w:eastAsia="仿宋_GB2312" w:cstheme="minorBidi"/>
          <w:b/>
          <w:bCs/>
          <w:kern w:val="2"/>
          <w:sz w:val="32"/>
          <w:szCs w:val="32"/>
          <w:highlight w:val="none"/>
          <w:lang w:val="en-US" w:eastAsia="zh-CN" w:bidi="ar-SA"/>
        </w:rPr>
        <w:t>人民政府办公室2021</w:t>
      </w:r>
      <w:r>
        <w:rPr>
          <w:rFonts w:hint="eastAsia" w:ascii="仿宋_GB2312" w:eastAsia="仿宋_GB2312" w:hAnsiTheme="minorHAnsi" w:cstheme="minorBidi"/>
          <w:b/>
          <w:bCs/>
          <w:kern w:val="2"/>
          <w:sz w:val="32"/>
          <w:szCs w:val="32"/>
          <w:highlight w:val="none"/>
          <w:lang w:val="en-US" w:eastAsia="zh-CN" w:bidi="ar-SA"/>
        </w:rPr>
        <w:t>年处理</w:t>
      </w:r>
      <w:r>
        <w:rPr>
          <w:rFonts w:hint="eastAsia" w:ascii="仿宋_GB2312" w:eastAsia="仿宋_GB2312" w:cstheme="minorBidi"/>
          <w:b/>
          <w:bCs/>
          <w:kern w:val="2"/>
          <w:sz w:val="32"/>
          <w:szCs w:val="32"/>
          <w:highlight w:val="none"/>
          <w:lang w:val="en-US" w:eastAsia="zh-CN" w:bidi="ar-SA"/>
        </w:rPr>
        <w:t>依申请公开</w:t>
      </w:r>
      <w:r>
        <w:rPr>
          <w:rFonts w:hint="eastAsia" w:ascii="仿宋_GB2312" w:eastAsia="仿宋_GB2312" w:hAnsiTheme="minorHAnsi" w:cstheme="minorBidi"/>
          <w:b/>
          <w:bCs/>
          <w:kern w:val="2"/>
          <w:sz w:val="32"/>
          <w:szCs w:val="32"/>
          <w:highlight w:val="none"/>
          <w:lang w:val="en-US" w:eastAsia="zh-CN" w:bidi="ar-SA"/>
        </w:rPr>
        <w:t>情况</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（三）政府信息管理情况</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left"/>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cs="Times New Roman" w:hAnsiTheme="minorHAnsi"/>
          <w:b/>
          <w:bCs/>
          <w:color w:val="000000"/>
          <w:kern w:val="0"/>
          <w:sz w:val="32"/>
          <w:szCs w:val="32"/>
          <w:lang w:val="en-US" w:eastAsia="zh-CN" w:bidi="ar-SA"/>
        </w:rPr>
        <w:t>一是</w:t>
      </w:r>
      <w:r>
        <w:rPr>
          <w:rFonts w:hint="eastAsia" w:ascii="仿宋_GB2312" w:eastAsia="仿宋_GB2312" w:cs="Times New Roman" w:hAnsiTheme="minorHAnsi"/>
          <w:color w:val="000000"/>
          <w:kern w:val="0"/>
          <w:sz w:val="32"/>
          <w:szCs w:val="32"/>
          <w:lang w:val="en-US" w:eastAsia="zh-CN" w:bidi="ar-SA"/>
        </w:rPr>
        <w:t>持续做好已公开政府信息规范管理，建立政府文件集中发布平台</w:t>
      </w:r>
      <w:r>
        <w:rPr>
          <w:rFonts w:hint="eastAsia" w:ascii="仿宋_GB2312" w:eastAsia="仿宋_GB2312" w:cs="Times New Roman"/>
          <w:color w:val="000000"/>
          <w:kern w:val="0"/>
          <w:sz w:val="32"/>
          <w:szCs w:val="32"/>
          <w:lang w:val="en-US" w:eastAsia="zh-CN" w:bidi="ar-SA"/>
        </w:rPr>
        <w:t>，</w:t>
      </w:r>
      <w:r>
        <w:rPr>
          <w:rFonts w:hint="eastAsia" w:ascii="仿宋_GB2312" w:eastAsia="仿宋_GB2312" w:cs="Times New Roman" w:hAnsiTheme="minorHAnsi"/>
          <w:color w:val="000000"/>
          <w:kern w:val="0"/>
          <w:sz w:val="32"/>
          <w:szCs w:val="32"/>
          <w:lang w:val="en-US" w:eastAsia="zh-CN" w:bidi="ar-SA"/>
        </w:rPr>
        <w:t>分类发布市政府文件、市政府办公室文件、规范性文件，标明名称、发布日期、文号、有效性等信息，群众和企业可以通过标题、文号等查询政策文件，实现查询更加方便快捷。</w:t>
      </w:r>
      <w:r>
        <w:rPr>
          <w:rFonts w:hint="eastAsia" w:ascii="仿宋_GB2312" w:eastAsia="仿宋_GB2312" w:cs="Times New Roman"/>
          <w:color w:val="000000"/>
          <w:kern w:val="0"/>
          <w:sz w:val="32"/>
          <w:szCs w:val="32"/>
          <w:lang w:val="en-US" w:eastAsia="zh-CN" w:bidi="ar-SA"/>
        </w:rPr>
        <w:t>同时，建立优惠政策库，</w:t>
      </w:r>
      <w:r>
        <w:rPr>
          <w:rFonts w:hint="eastAsia" w:ascii="仿宋_GB2312" w:hAnsi="仿宋_GB2312" w:eastAsia="仿宋_GB2312" w:cs="仿宋_GB2312"/>
          <w:b w:val="0"/>
          <w:bCs w:val="0"/>
          <w:i w:val="0"/>
          <w:iCs w:val="0"/>
          <w:color w:val="auto"/>
          <w:sz w:val="32"/>
          <w:szCs w:val="32"/>
          <w:lang w:val="en-US" w:eastAsia="zh-CN"/>
        </w:rPr>
        <w:t>对2016年1月以来的政策文件进行梳理汇总、全面归集、全生命周期管理。</w:t>
      </w:r>
      <w:r>
        <w:rPr>
          <w:rFonts w:hint="eastAsia" w:ascii="仿宋_GB2312" w:hAnsi="仿宋_GB2312" w:eastAsia="仿宋_GB2312" w:cs="仿宋_GB2312"/>
          <w:b/>
          <w:bCs/>
          <w:i w:val="0"/>
          <w:iCs w:val="0"/>
          <w:color w:val="auto"/>
          <w:sz w:val="32"/>
          <w:szCs w:val="32"/>
          <w:lang w:val="en-US" w:eastAsia="zh-CN"/>
        </w:rPr>
        <w:t>二是</w:t>
      </w:r>
      <w:r>
        <w:rPr>
          <w:rFonts w:hint="eastAsia" w:ascii="仿宋_GB2312" w:eastAsia="仿宋_GB2312"/>
          <w:color w:val="000000"/>
          <w:sz w:val="32"/>
          <w:szCs w:val="32"/>
          <w:lang w:val="en-US" w:eastAsia="zh-CN"/>
        </w:rPr>
        <w:t>严格落实公文公开属性源头认定机制，报请市政府或市政府办公室发文的，须明确标识主动公开、依申请公开、不予公开属性，并同步报送政策解读稿件。</w:t>
      </w:r>
      <w:r>
        <w:rPr>
          <w:rFonts w:hint="eastAsia" w:ascii="仿宋_GB2312" w:eastAsia="仿宋_GB2312"/>
          <w:b/>
          <w:bCs/>
          <w:color w:val="000000"/>
          <w:sz w:val="32"/>
          <w:szCs w:val="32"/>
          <w:lang w:val="en-US" w:eastAsia="zh-CN"/>
        </w:rPr>
        <w:t>三是</w:t>
      </w:r>
      <w:r>
        <w:rPr>
          <w:rFonts w:hint="eastAsia" w:ascii="仿宋_GB2312" w:eastAsia="仿宋_GB2312" w:hAnsiTheme="minorHAnsi" w:cstheme="minorBidi"/>
          <w:kern w:val="2"/>
          <w:sz w:val="32"/>
          <w:szCs w:val="32"/>
          <w:lang w:val="en-US" w:eastAsia="zh-CN" w:bidi="ar-SA"/>
        </w:rPr>
        <w:t>完善政府信息公开保密审查规定，坚持“谁审查谁负责”“先审核后公开”和“一事一审”的原则，对拟公开政府信息进行严格的保密审查。</w:t>
      </w:r>
      <w:r>
        <w:rPr>
          <w:rFonts w:hint="eastAsia" w:ascii="仿宋_GB2312" w:eastAsia="仿宋_GB2312" w:cstheme="minorBidi"/>
          <w:kern w:val="2"/>
          <w:sz w:val="32"/>
          <w:szCs w:val="32"/>
          <w:lang w:val="en-US" w:eastAsia="zh-CN" w:bidi="ar-SA"/>
        </w:rPr>
        <w:t>2021</w:t>
      </w:r>
      <w:r>
        <w:rPr>
          <w:rFonts w:hint="eastAsia" w:ascii="仿宋_GB2312" w:eastAsia="仿宋_GB2312" w:hAnsiTheme="minorHAnsi" w:cstheme="minorBidi"/>
          <w:kern w:val="2"/>
          <w:sz w:val="32"/>
          <w:szCs w:val="32"/>
          <w:lang w:val="en-US" w:eastAsia="zh-CN" w:bidi="ar-SA"/>
        </w:rPr>
        <w:t>年，</w:t>
      </w:r>
      <w:r>
        <w:rPr>
          <w:rFonts w:hint="eastAsia" w:ascii="仿宋_GB2312" w:eastAsia="仿宋_GB2312" w:cstheme="minorBidi"/>
          <w:kern w:val="2"/>
          <w:sz w:val="32"/>
          <w:szCs w:val="32"/>
          <w:lang w:val="en-US" w:eastAsia="zh-CN" w:bidi="ar-SA"/>
        </w:rPr>
        <w:t>政府办公室</w:t>
      </w:r>
      <w:r>
        <w:rPr>
          <w:rFonts w:hint="eastAsia" w:ascii="仿宋_GB2312" w:eastAsia="仿宋_GB2312" w:hAnsiTheme="minorHAnsi" w:cstheme="minorBidi"/>
          <w:kern w:val="2"/>
          <w:sz w:val="32"/>
          <w:szCs w:val="32"/>
          <w:lang w:val="en-US" w:eastAsia="zh-CN" w:bidi="ar-SA"/>
        </w:rPr>
        <w:t>未发生因政府信息公开审查不当或保密审查机构未履行保密审查职责而引起的失泄密情况。</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（四）平台建设情况</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textAlignment w:val="auto"/>
        <w:rPr>
          <w:rFonts w:hint="eastAsia" w:ascii="仿宋_GB2312" w:hAnsi="宋体" w:eastAsia="仿宋_GB2312" w:cs="仿宋_GB2312"/>
          <w:i w:val="0"/>
          <w:caps w:val="0"/>
          <w:color w:val="auto"/>
          <w:spacing w:val="0"/>
          <w:kern w:val="0"/>
          <w:sz w:val="31"/>
          <w:szCs w:val="31"/>
          <w:shd w:val="clear" w:color="auto" w:fill="FFFFFF"/>
          <w:lang w:val="en-US" w:eastAsia="zh-CN" w:bidi="ar"/>
        </w:rPr>
      </w:pPr>
      <w:r>
        <w:rPr>
          <w:rFonts w:hint="eastAsia" w:ascii="仿宋_GB2312" w:eastAsia="仿宋_GB2312"/>
          <w:b/>
          <w:bCs/>
          <w:color w:val="000000"/>
          <w:sz w:val="32"/>
          <w:szCs w:val="32"/>
          <w:lang w:val="en-US" w:eastAsia="zh-CN"/>
        </w:rPr>
        <w:t>一是政府网站改版升级。</w:t>
      </w:r>
      <w:r>
        <w:rPr>
          <w:rFonts w:hint="eastAsia" w:ascii="仿宋_GB2312" w:hAnsi="仿宋_GB2312" w:eastAsia="仿宋_GB2312" w:cs="仿宋_GB2312"/>
          <w:kern w:val="2"/>
          <w:sz w:val="32"/>
          <w:szCs w:val="32"/>
          <w:lang w:val="en-US" w:eastAsia="zh-CN" w:bidi="ar-SA"/>
        </w:rPr>
        <w:t>2021年，对标省政府、枣庄市政府网站，我市政府网站围绕网站布局、功能提升等全面改版升级，对照</w:t>
      </w:r>
      <w:r>
        <w:rPr>
          <w:rFonts w:hint="eastAsia" w:ascii="仿宋_GB2312" w:eastAsia="仿宋_GB2312" w:hAnsiTheme="minorHAnsi" w:cstheme="minorBidi"/>
          <w:kern w:val="2"/>
          <w:sz w:val="32"/>
          <w:szCs w:val="32"/>
          <w:lang w:val="en-US" w:eastAsia="zh-CN" w:bidi="ar-SA"/>
        </w:rPr>
        <w:t>《中华人民共和国政府信息公开条例》</w:t>
      </w:r>
      <w:r>
        <w:rPr>
          <w:rFonts w:hint="eastAsia" w:ascii="仿宋_GB2312" w:eastAsia="仿宋_GB2312" w:cstheme="minorBidi"/>
          <w:kern w:val="2"/>
          <w:sz w:val="32"/>
          <w:szCs w:val="32"/>
          <w:lang w:val="en-US" w:eastAsia="zh-CN" w:bidi="ar-SA"/>
        </w:rPr>
        <w:t>，调整</w:t>
      </w:r>
      <w:r>
        <w:rPr>
          <w:rFonts w:hint="eastAsia" w:ascii="仿宋_GB2312" w:hAnsi="仿宋_GB2312" w:eastAsia="仿宋_GB2312" w:cs="仿宋_GB2312"/>
          <w:kern w:val="2"/>
          <w:sz w:val="32"/>
          <w:szCs w:val="32"/>
          <w:lang w:val="en-US" w:eastAsia="zh-CN" w:bidi="ar-SA"/>
        </w:rPr>
        <w:t>信息公开专栏，合理设置目录，创新展现形式，积极采用专题页面形式集中展现政府信息，网站服务更加便民利民。</w:t>
      </w:r>
      <w:r>
        <w:rPr>
          <w:rFonts w:hint="eastAsia" w:ascii="仿宋_GB2312" w:eastAsia="仿宋_GB2312"/>
          <w:b/>
          <w:bCs/>
          <w:color w:val="000000"/>
          <w:sz w:val="32"/>
          <w:szCs w:val="32"/>
          <w:lang w:val="en-US" w:eastAsia="zh-CN"/>
        </w:rPr>
        <w:t>二是政府公报持续推进。</w:t>
      </w:r>
      <w:r>
        <w:rPr>
          <w:rFonts w:hint="eastAsia" w:ascii="仿宋_GB2312" w:hAnsi="仿宋_GB2312" w:eastAsia="仿宋_GB2312" w:cs="仿宋_GB2312"/>
          <w:b w:val="0"/>
          <w:bCs w:val="0"/>
          <w:kern w:val="2"/>
          <w:sz w:val="32"/>
          <w:szCs w:val="32"/>
          <w:lang w:val="en-US" w:eastAsia="zh-CN" w:bidi="ar-SA"/>
        </w:rPr>
        <w:t>2021年，政府办公室牵头编制并公开政府公报九期，内容涵盖今年公开的政府、政府办和人事任免文件。目前，滕州市政府公报已编制47期，发放至全市各政务公开专区、政府信息公开查询点。同时，在政府官网设置政府公报专题，并链接至中国滕州微信公众号。这样线上线下相结合公开的方式，方便群众随时查阅。</w:t>
      </w:r>
      <w:r>
        <w:rPr>
          <w:rFonts w:hint="eastAsia" w:ascii="仿宋_GB2312" w:eastAsia="仿宋_GB2312"/>
          <w:b/>
          <w:bCs/>
          <w:color w:val="000000"/>
          <w:sz w:val="32"/>
          <w:szCs w:val="32"/>
          <w:lang w:val="en-US" w:eastAsia="zh-CN"/>
        </w:rPr>
        <w:t>三是积极推动专区建设。</w:t>
      </w:r>
      <w:r>
        <w:rPr>
          <w:rFonts w:hint="eastAsia" w:ascii="仿宋_GB2312" w:hAnsi="仿宋_GB2312" w:eastAsia="仿宋_GB2312" w:cs="仿宋_GB2312"/>
          <w:b w:val="0"/>
          <w:bCs w:val="0"/>
          <w:color w:val="auto"/>
          <w:kern w:val="2"/>
          <w:sz w:val="32"/>
          <w:szCs w:val="32"/>
          <w:lang w:val="en-US" w:eastAsia="zh-CN" w:bidi="ar-SA"/>
        </w:rPr>
        <w:t>研究制定了《滕州市基层政务公开专区建设标准（试行）》，召开工作推进会议，并于10月</w:t>
      </w:r>
      <w:r>
        <w:rPr>
          <w:rFonts w:hint="eastAsia" w:ascii="仿宋_GB2312" w:hAnsi="仿宋_GB2312" w:eastAsia="仿宋_GB2312" w:cs="仿宋_GB2312"/>
          <w:color w:val="auto"/>
          <w:sz w:val="32"/>
          <w:szCs w:val="32"/>
          <w:lang w:val="en-US" w:eastAsia="zh-CN"/>
        </w:rPr>
        <w:t>中旬</w:t>
      </w:r>
      <w:r>
        <w:rPr>
          <w:rFonts w:hint="eastAsia" w:ascii="仿宋_GB2312" w:hAnsi="仿宋_GB2312" w:eastAsia="仿宋_GB2312" w:cs="仿宋_GB2312"/>
          <w:color w:val="auto"/>
          <w:sz w:val="32"/>
          <w:szCs w:val="32"/>
          <w:lang w:eastAsia="zh-CN"/>
        </w:rPr>
        <w:t>对镇街、村居（社区）政务公开专区建设运行情况开展专项督导，下发了督导通报。目前已建设完成市级政务公开专区</w:t>
      </w:r>
      <w:r>
        <w:rPr>
          <w:rFonts w:hint="eastAsia" w:ascii="仿宋_GB2312" w:hAnsi="仿宋_GB2312" w:eastAsia="仿宋_GB2312" w:cs="仿宋_GB2312"/>
          <w:color w:val="auto"/>
          <w:sz w:val="32"/>
          <w:szCs w:val="32"/>
          <w:lang w:val="en-US" w:eastAsia="zh-CN"/>
        </w:rPr>
        <w:t>2处，镇级和村级试点政务公开专区各21处，基本形成</w:t>
      </w:r>
      <w:r>
        <w:rPr>
          <w:rFonts w:hint="eastAsia" w:ascii="仿宋_GB2312" w:hAnsi="宋体" w:eastAsia="仿宋_GB2312" w:cs="仿宋_GB2312"/>
          <w:i w:val="0"/>
          <w:caps w:val="0"/>
          <w:color w:val="auto"/>
          <w:spacing w:val="0"/>
          <w:kern w:val="0"/>
          <w:sz w:val="31"/>
          <w:szCs w:val="31"/>
          <w:shd w:val="clear" w:color="auto" w:fill="FFFFFF"/>
          <w:lang w:val="en-US" w:eastAsia="zh-CN" w:bidi="ar"/>
        </w:rPr>
        <w:t>市镇村三级联动、标准统一的政务公开体验区集群，不断拓宽政务公开渠道，延伸政务公开服务触角。同时开设政务公开专区建设页面，进行集中展示。</w:t>
      </w:r>
    </w:p>
    <w:p>
      <w:pPr>
        <w:pStyle w:val="2"/>
      </w:pPr>
      <w:r>
        <w:drawing>
          <wp:inline distT="0" distB="0" distL="114300" distR="114300">
            <wp:extent cx="5266690" cy="4656455"/>
            <wp:effectExtent l="0" t="0" r="10160" b="10795"/>
            <wp:docPr id="11"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true"/>
                    </pic:cNvPicPr>
                  </pic:nvPicPr>
                  <pic:blipFill>
                    <a:blip r:embed="rId14"/>
                    <a:stretch>
                      <a:fillRect/>
                    </a:stretch>
                  </pic:blipFill>
                  <pic:spPr>
                    <a:xfrm>
                      <a:off x="0" y="0"/>
                      <a:ext cx="5266690" cy="4656455"/>
                    </a:xfrm>
                    <a:prstGeom prst="rect">
                      <a:avLst/>
                    </a:prstGeom>
                    <a:noFill/>
                    <a:ln>
                      <a:noFill/>
                    </a:ln>
                  </pic:spPr>
                </pic:pic>
              </a:graphicData>
            </a:graphic>
          </wp:inline>
        </w:drawing>
      </w:r>
    </w:p>
    <w:p>
      <w:pPr>
        <w:pStyle w:val="2"/>
        <w:rPr>
          <w:rFonts w:hint="eastAsia"/>
          <w:lang w:val="en-US" w:eastAsia="zh-CN"/>
        </w:rPr>
      </w:pPr>
      <w:r>
        <w:drawing>
          <wp:inline distT="0" distB="0" distL="114300" distR="114300">
            <wp:extent cx="5272405" cy="4184015"/>
            <wp:effectExtent l="0" t="0" r="4445" b="6985"/>
            <wp:docPr id="10"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true"/>
                    </pic:cNvPicPr>
                  </pic:nvPicPr>
                  <pic:blipFill>
                    <a:blip r:embed="rId15"/>
                    <a:stretch>
                      <a:fillRect/>
                    </a:stretch>
                  </pic:blipFill>
                  <pic:spPr>
                    <a:xfrm>
                      <a:off x="0" y="0"/>
                      <a:ext cx="5272405" cy="4184015"/>
                    </a:xfrm>
                    <a:prstGeom prst="rect">
                      <a:avLst/>
                    </a:prstGeom>
                    <a:noFill/>
                    <a:ln>
                      <a:noFill/>
                    </a:ln>
                  </pic:spPr>
                </pic:pic>
              </a:graphicData>
            </a:graphic>
          </wp:inline>
        </w:drawing>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480" w:firstLineChars="200"/>
        <w:jc w:val="left"/>
        <w:textAlignment w:val="auto"/>
        <w:rPr>
          <w:rFonts w:hint="eastAsia" w:ascii="楷体" w:hAnsi="楷体" w:eastAsia="楷体" w:cs="楷体"/>
          <w:kern w:val="2"/>
          <w:sz w:val="32"/>
          <w:szCs w:val="32"/>
          <w:lang w:val="en-US" w:eastAsia="zh-CN" w:bidi="ar-SA"/>
        </w:rPr>
      </w:pPr>
      <w:r>
        <w:drawing>
          <wp:anchor distT="0" distB="0" distL="114300" distR="114300" simplePos="0" relativeHeight="251666432" behindDoc="0" locked="0" layoutInCell="1" allowOverlap="1">
            <wp:simplePos x="0" y="0"/>
            <wp:positionH relativeFrom="column">
              <wp:posOffset>-81915</wp:posOffset>
            </wp:positionH>
            <wp:positionV relativeFrom="paragraph">
              <wp:posOffset>334645</wp:posOffset>
            </wp:positionV>
            <wp:extent cx="5266690" cy="3571240"/>
            <wp:effectExtent l="0" t="0" r="10160" b="10160"/>
            <wp:wrapSquare wrapText="bothSides"/>
            <wp:docPr id="12"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true"/>
                    </pic:cNvPicPr>
                  </pic:nvPicPr>
                  <pic:blipFill>
                    <a:blip r:embed="rId16"/>
                    <a:stretch>
                      <a:fillRect/>
                    </a:stretch>
                  </pic:blipFill>
                  <pic:spPr>
                    <a:xfrm>
                      <a:off x="0" y="0"/>
                      <a:ext cx="5266690" cy="3571240"/>
                    </a:xfrm>
                    <a:prstGeom prst="rect">
                      <a:avLst/>
                    </a:prstGeom>
                    <a:noFill/>
                    <a:ln>
                      <a:noFill/>
                    </a:ln>
                  </pic:spPr>
                </pic:pic>
              </a:graphicData>
            </a:graphic>
          </wp:anchor>
        </w:drawing>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楷体" w:hAnsi="楷体" w:eastAsia="楷体" w:cs="楷体"/>
          <w:b w:val="0"/>
          <w:bCs w:val="0"/>
          <w:sz w:val="32"/>
          <w:szCs w:val="32"/>
          <w:lang w:val="en-US" w:eastAsia="zh-CN"/>
        </w:rPr>
      </w:pPr>
      <w:r>
        <w:rPr>
          <w:rFonts w:hint="eastAsia" w:ascii="楷体" w:hAnsi="楷体" w:eastAsia="楷体" w:cs="楷体"/>
          <w:kern w:val="2"/>
          <w:sz w:val="32"/>
          <w:szCs w:val="32"/>
          <w:lang w:val="en-US" w:eastAsia="zh-CN" w:bidi="ar-SA"/>
        </w:rPr>
        <w:t>（五）监督保障情况　</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2" w:firstLineChars="200"/>
        <w:jc w:val="left"/>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b/>
          <w:bCs/>
          <w:color w:val="000000"/>
          <w:kern w:val="2"/>
          <w:sz w:val="32"/>
          <w:szCs w:val="32"/>
          <w:lang w:val="en-US" w:eastAsia="zh-CN" w:bidi="ar-SA"/>
        </w:rPr>
        <w:t>一是加强组织领导。</w:t>
      </w:r>
      <w:r>
        <w:rPr>
          <w:rFonts w:hint="eastAsia" w:ascii="仿宋_GB2312" w:eastAsia="仿宋_GB2312"/>
          <w:color w:val="auto"/>
          <w:sz w:val="32"/>
          <w:szCs w:val="32"/>
          <w:lang w:val="en-US" w:eastAsia="zh-CN"/>
        </w:rPr>
        <w:t>明确政务公开办公室负责推进、指导、协调、监督全市政府信息公开和政务公开工作，配备专职人员两名，推进政务公开日常工作有序开展。</w:t>
      </w:r>
      <w:r>
        <w:rPr>
          <w:rFonts w:hint="eastAsia" w:ascii="仿宋_GB2312" w:eastAsia="仿宋_GB2312" w:hAnsiTheme="minorHAnsi" w:cstheme="minorBidi"/>
          <w:b/>
          <w:bCs/>
          <w:color w:val="000000"/>
          <w:kern w:val="2"/>
          <w:sz w:val="32"/>
          <w:szCs w:val="32"/>
          <w:lang w:val="en-US" w:eastAsia="zh-CN" w:bidi="ar-SA"/>
        </w:rPr>
        <w:t>二是加强培训指导。</w:t>
      </w:r>
      <w:r>
        <w:rPr>
          <w:rFonts w:hint="eastAsia" w:ascii="仿宋_GB2312" w:hAnsi="宋体" w:eastAsia="仿宋_GB2312" w:cs="宋体"/>
          <w:color w:val="auto"/>
          <w:kern w:val="2"/>
          <w:sz w:val="32"/>
          <w:szCs w:val="32"/>
          <w:lang w:val="en-US" w:eastAsia="zh-CN" w:bidi="zh-CN"/>
        </w:rPr>
        <w:t>按照年初学习培训计划，开展依申请公开、专栏建设、镇街政务公开推进会议和年底政务公开考核推进会议等专项培训4次，一对一指导培训32次，组织部门镇街集中办公5天。</w:t>
      </w:r>
      <w:r>
        <w:rPr>
          <w:rFonts w:hint="eastAsia" w:ascii="仿宋_GB2312" w:eastAsia="仿宋_GB2312" w:hAnsiTheme="minorHAnsi" w:cstheme="minorBidi"/>
          <w:b/>
          <w:bCs/>
          <w:color w:val="000000"/>
          <w:kern w:val="2"/>
          <w:sz w:val="32"/>
          <w:szCs w:val="32"/>
          <w:lang w:val="en-US" w:eastAsia="zh-CN" w:bidi="ar-SA"/>
        </w:rPr>
        <w:t>三是强化监督考核。</w:t>
      </w:r>
      <w:r>
        <w:rPr>
          <w:rFonts w:hint="eastAsia" w:ascii="仿宋_GB2312" w:hAnsi="宋体" w:eastAsia="仿宋_GB2312" w:cs="宋体"/>
          <w:color w:val="auto"/>
          <w:kern w:val="2"/>
          <w:sz w:val="32"/>
          <w:szCs w:val="32"/>
          <w:lang w:val="en-US" w:eastAsia="zh-CN" w:bidi="zh-CN"/>
        </w:rPr>
        <w:t>此项工作已纳入滕州镇街高质量发展综合考核和部门绩效考核。市政府办公室制定了2021年滕州部门和镇街的政务公开考核标准细则，按季度开展考核，同时聘请</w:t>
      </w:r>
      <w:r>
        <w:rPr>
          <w:rFonts w:hint="eastAsia" w:ascii="仿宋_GB2312" w:eastAsia="仿宋_GB2312"/>
          <w:sz w:val="32"/>
          <w:szCs w:val="32"/>
          <w:lang w:eastAsia="zh-CN"/>
        </w:rPr>
        <w:t>第三方机构评估，</w:t>
      </w:r>
      <w:r>
        <w:rPr>
          <w:rFonts w:hint="eastAsia" w:ascii="仿宋_GB2312" w:hAnsi="仿宋_GB2312" w:eastAsia="仿宋_GB2312" w:cs="仿宋_GB2312"/>
          <w:sz w:val="32"/>
          <w:szCs w:val="32"/>
          <w:lang w:eastAsia="zh-CN"/>
        </w:rPr>
        <w:t>客观公正评价</w:t>
      </w:r>
      <w:r>
        <w:rPr>
          <w:rFonts w:hint="eastAsia" w:ascii="仿宋_GB2312" w:hAnsi="仿宋_GB2312" w:eastAsia="仿宋_GB2312" w:cs="仿宋_GB2312"/>
          <w:sz w:val="32"/>
          <w:szCs w:val="32"/>
        </w:rPr>
        <w:t>公开效果</w:t>
      </w:r>
      <w:r>
        <w:rPr>
          <w:rFonts w:hint="eastAsia" w:ascii="仿宋_GB2312" w:eastAsia="仿宋_GB2312" w:hAnsiTheme="minorHAnsi" w:cstheme="minorBidi"/>
          <w:kern w:val="2"/>
          <w:sz w:val="32"/>
          <w:szCs w:val="32"/>
          <w:lang w:val="en-US" w:eastAsia="zh-CN" w:bidi="ar-SA"/>
        </w:rPr>
        <w:t>。</w:t>
      </w:r>
      <w:r>
        <w:rPr>
          <w:rFonts w:hint="eastAsia" w:ascii="楷体_GB2312" w:eastAsia="楷体_GB2312" w:hAnsiTheme="minorHAnsi" w:cstheme="minorBidi"/>
          <w:b w:val="0"/>
          <w:bCs/>
          <w:kern w:val="2"/>
          <w:sz w:val="32"/>
          <w:szCs w:val="32"/>
          <w:lang w:val="en-US" w:eastAsia="zh-CN" w:bidi="ar-SA"/>
        </w:rPr>
        <w:t>四是</w:t>
      </w:r>
      <w:r>
        <w:rPr>
          <w:rFonts w:hint="eastAsia" w:ascii="仿宋_GB2312" w:hAnsi="仿宋_GB2312" w:eastAsia="仿宋_GB2312" w:cs="仿宋_GB2312"/>
          <w:sz w:val="32"/>
          <w:szCs w:val="32"/>
          <w:lang w:val="en-US" w:eastAsia="zh-CN"/>
        </w:rPr>
        <w:t>2021年度未进行社会评议，未发生责任追究情况。</w:t>
      </w:r>
    </w:p>
    <w:p>
      <w:pPr>
        <w:pStyle w:val="7"/>
        <w:widowControl/>
        <w:shd w:val="clear" w:color="auto" w:fill="FFFFFF"/>
        <w:spacing w:beforeAutospacing="0" w:after="240" w:afterAutospacing="0"/>
        <w:ind w:firstLine="640" w:firstLineChars="200"/>
        <w:jc w:val="both"/>
        <w:rPr>
          <w:rFonts w:ascii="黑体" w:hAnsi="黑体" w:eastAsia="黑体" w:cs="黑体"/>
          <w:color w:val="333333"/>
          <w:sz w:val="32"/>
          <w:szCs w:val="32"/>
        </w:rPr>
      </w:pPr>
      <w:r>
        <w:rPr>
          <w:rFonts w:hint="eastAsia" w:ascii="黑体" w:hAnsi="黑体" w:eastAsia="黑体" w:cs="黑体"/>
          <w:color w:val="333333"/>
          <w:sz w:val="32"/>
          <w:szCs w:val="32"/>
          <w:shd w:val="clear" w:color="auto" w:fill="FFFFFF"/>
        </w:rPr>
        <w:t>二、主动公开政府信息情况</w:t>
      </w:r>
    </w:p>
    <w:tbl>
      <w:tblPr>
        <w:tblStyle w:val="8"/>
        <w:tblW w:w="8824" w:type="dxa"/>
        <w:tblInd w:w="0" w:type="dxa"/>
        <w:tblLayout w:type="fixed"/>
        <w:tblCellMar>
          <w:top w:w="0" w:type="dxa"/>
          <w:left w:w="108" w:type="dxa"/>
          <w:bottom w:w="0" w:type="dxa"/>
          <w:right w:w="108" w:type="dxa"/>
        </w:tblCellMar>
      </w:tblPr>
      <w:tblGrid>
        <w:gridCol w:w="2206"/>
        <w:gridCol w:w="2206"/>
        <w:gridCol w:w="2206"/>
        <w:gridCol w:w="2206"/>
      </w:tblGrid>
      <w:tr>
        <w:tblPrEx>
          <w:tblCellMar>
            <w:top w:w="0" w:type="dxa"/>
            <w:left w:w="108" w:type="dxa"/>
            <w:bottom w:w="0" w:type="dxa"/>
            <w:right w:w="108" w:type="dxa"/>
          </w:tblCellMar>
        </w:tblPrEx>
        <w:trPr>
          <w:trHeight w:val="567" w:hRule="atLeast"/>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第二十条第（一）项</w:t>
            </w:r>
          </w:p>
        </w:tc>
      </w:tr>
      <w:tr>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2206" w:type="dxa"/>
            <w:tcBorders>
              <w:top w:val="nil"/>
              <w:left w:val="nil"/>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本年制发件数</w:t>
            </w:r>
          </w:p>
        </w:tc>
        <w:tc>
          <w:tcPr>
            <w:tcW w:w="2206" w:type="dxa"/>
            <w:tcBorders>
              <w:top w:val="nil"/>
              <w:left w:val="nil"/>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本年废止件数</w:t>
            </w:r>
          </w:p>
        </w:tc>
        <w:tc>
          <w:tcPr>
            <w:tcW w:w="2206" w:type="dxa"/>
            <w:tcBorders>
              <w:top w:val="nil"/>
              <w:left w:val="nil"/>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现行有效件数</w:t>
            </w:r>
          </w:p>
        </w:tc>
      </w:tr>
      <w:tr>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规章</w:t>
            </w:r>
          </w:p>
        </w:tc>
        <w:tc>
          <w:tcPr>
            <w:tcW w:w="2206" w:type="dxa"/>
            <w:tcBorders>
              <w:top w:val="nil"/>
              <w:left w:val="nil"/>
              <w:bottom w:val="single" w:color="auto" w:sz="8" w:space="0"/>
              <w:right w:val="single" w:color="auto" w:sz="8" w:space="0"/>
            </w:tcBorders>
            <w:noWrap w:val="0"/>
            <w:vAlign w:val="center"/>
          </w:tcPr>
          <w:p>
            <w:pPr>
              <w:widowControl/>
              <w:jc w:val="left"/>
              <w:rPr>
                <w:rFonts w:hint="eastAsia"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rPr>
              <w:t>　　</w:t>
            </w:r>
            <w:r>
              <w:rPr>
                <w:rFonts w:hint="eastAsia" w:ascii="仿宋_GB2312" w:hAnsi="宋体" w:eastAsia="仿宋_GB2312" w:cs="宋体"/>
                <w:color w:val="000000"/>
                <w:kern w:val="0"/>
                <w:szCs w:val="21"/>
                <w:lang w:val="en-US" w:eastAsia="zh-CN"/>
              </w:rPr>
              <w:t>0</w:t>
            </w:r>
          </w:p>
        </w:tc>
        <w:tc>
          <w:tcPr>
            <w:tcW w:w="2206" w:type="dxa"/>
            <w:tcBorders>
              <w:top w:val="nil"/>
              <w:left w:val="nil"/>
              <w:bottom w:val="single" w:color="auto" w:sz="8" w:space="0"/>
              <w:right w:val="single" w:color="auto" w:sz="8" w:space="0"/>
            </w:tcBorders>
            <w:noWrap w:val="0"/>
            <w:vAlign w:val="center"/>
          </w:tcPr>
          <w:p>
            <w:pPr>
              <w:widowControl/>
              <w:jc w:val="left"/>
              <w:rPr>
                <w:rFonts w:hint="eastAsia"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rPr>
              <w:t> 　</w:t>
            </w:r>
            <w:r>
              <w:rPr>
                <w:rFonts w:hint="eastAsia" w:ascii="仿宋_GB2312" w:hAnsi="宋体" w:eastAsia="仿宋_GB2312" w:cs="宋体"/>
                <w:color w:val="000000"/>
                <w:kern w:val="0"/>
                <w:szCs w:val="21"/>
                <w:lang w:val="en-US" w:eastAsia="zh-CN"/>
              </w:rPr>
              <w:t>0</w:t>
            </w:r>
          </w:p>
        </w:tc>
        <w:tc>
          <w:tcPr>
            <w:tcW w:w="2206" w:type="dxa"/>
            <w:tcBorders>
              <w:top w:val="nil"/>
              <w:left w:val="nil"/>
              <w:bottom w:val="single" w:color="auto" w:sz="8" w:space="0"/>
              <w:right w:val="single" w:color="auto" w:sz="8" w:space="0"/>
            </w:tcBorders>
            <w:noWrap w:val="0"/>
            <w:vAlign w:val="center"/>
          </w:tcPr>
          <w:p>
            <w:pPr>
              <w:widowControl/>
              <w:jc w:val="left"/>
              <w:rPr>
                <w:rFonts w:hint="eastAsia" w:ascii="仿宋_GB2312" w:hAnsi="Calibri" w:eastAsia="仿宋_GB2312" w:cs="Calibri"/>
                <w:color w:val="000000"/>
                <w:kern w:val="0"/>
                <w:szCs w:val="21"/>
                <w:lang w:val="en-US" w:eastAsia="zh-CN"/>
              </w:rPr>
            </w:pPr>
            <w:r>
              <w:rPr>
                <w:rFonts w:hint="eastAsia" w:ascii="仿宋_GB2312" w:hAnsi="Calibri" w:eastAsia="仿宋_GB2312" w:cs="Calibri"/>
                <w:color w:val="000000"/>
                <w:kern w:val="0"/>
                <w:szCs w:val="21"/>
              </w:rPr>
              <w:t>　</w:t>
            </w:r>
            <w:r>
              <w:rPr>
                <w:rFonts w:hint="eastAsia" w:ascii="仿宋_GB2312" w:hAnsi="Calibri" w:eastAsia="仿宋_GB2312" w:cs="Calibri"/>
                <w:color w:val="000000"/>
                <w:kern w:val="0"/>
                <w:szCs w:val="21"/>
                <w:lang w:val="en-US" w:eastAsia="zh-CN"/>
              </w:rPr>
              <w:t>0</w:t>
            </w:r>
          </w:p>
        </w:tc>
      </w:tr>
      <w:tr>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行政规范性文件</w:t>
            </w:r>
          </w:p>
        </w:tc>
        <w:tc>
          <w:tcPr>
            <w:tcW w:w="2206" w:type="dxa"/>
            <w:tcBorders>
              <w:top w:val="nil"/>
              <w:left w:val="nil"/>
              <w:bottom w:val="single" w:color="auto" w:sz="8" w:space="0"/>
              <w:right w:val="single" w:color="auto" w:sz="8" w:space="0"/>
            </w:tcBorders>
            <w:noWrap w:val="0"/>
            <w:vAlign w:val="center"/>
          </w:tcPr>
          <w:p>
            <w:pPr>
              <w:widowControl/>
              <w:jc w:val="left"/>
              <w:rPr>
                <w:rFonts w:hint="eastAsia"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rPr>
              <w:t>　　</w:t>
            </w:r>
            <w:r>
              <w:rPr>
                <w:rFonts w:hint="eastAsia" w:ascii="仿宋_GB2312" w:hAnsi="宋体" w:eastAsia="仿宋_GB2312" w:cs="宋体"/>
                <w:color w:val="000000"/>
                <w:kern w:val="0"/>
                <w:szCs w:val="21"/>
                <w:lang w:val="en-US" w:eastAsia="zh-CN"/>
              </w:rPr>
              <w:t>0</w:t>
            </w:r>
          </w:p>
        </w:tc>
        <w:tc>
          <w:tcPr>
            <w:tcW w:w="2206" w:type="dxa"/>
            <w:tcBorders>
              <w:top w:val="nil"/>
              <w:left w:val="nil"/>
              <w:bottom w:val="single" w:color="auto" w:sz="8" w:space="0"/>
              <w:right w:val="single" w:color="auto" w:sz="8" w:space="0"/>
            </w:tcBorders>
            <w:noWrap w:val="0"/>
            <w:vAlign w:val="center"/>
          </w:tcPr>
          <w:p>
            <w:pPr>
              <w:widowControl/>
              <w:jc w:val="left"/>
              <w:rPr>
                <w:rFonts w:hint="eastAsia"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rPr>
              <w:t> 　</w:t>
            </w:r>
            <w:r>
              <w:rPr>
                <w:rFonts w:hint="eastAsia" w:ascii="仿宋_GB2312" w:hAnsi="宋体" w:eastAsia="仿宋_GB2312" w:cs="宋体"/>
                <w:color w:val="000000"/>
                <w:kern w:val="0"/>
                <w:szCs w:val="21"/>
                <w:lang w:val="en-US" w:eastAsia="zh-CN"/>
              </w:rPr>
              <w:t>0</w:t>
            </w:r>
          </w:p>
        </w:tc>
        <w:tc>
          <w:tcPr>
            <w:tcW w:w="2206" w:type="dxa"/>
            <w:tcBorders>
              <w:top w:val="nil"/>
              <w:left w:val="nil"/>
              <w:bottom w:val="single" w:color="auto" w:sz="8" w:space="0"/>
              <w:right w:val="single" w:color="auto" w:sz="8" w:space="0"/>
            </w:tcBorders>
            <w:noWrap w:val="0"/>
            <w:vAlign w:val="center"/>
          </w:tcPr>
          <w:p>
            <w:pPr>
              <w:widowControl/>
              <w:jc w:val="left"/>
              <w:rPr>
                <w:rFonts w:hint="eastAsia" w:ascii="仿宋_GB2312" w:hAnsi="Calibri" w:eastAsia="仿宋_GB2312" w:cs="Calibri"/>
                <w:color w:val="000000"/>
                <w:kern w:val="0"/>
                <w:szCs w:val="21"/>
                <w:lang w:val="en-US" w:eastAsia="zh-CN"/>
              </w:rPr>
            </w:pPr>
            <w:r>
              <w:rPr>
                <w:rFonts w:hint="eastAsia" w:ascii="仿宋_GB2312" w:hAnsi="Calibri" w:eastAsia="仿宋_GB2312" w:cs="Calibri"/>
                <w:color w:val="000000"/>
                <w:kern w:val="0"/>
                <w:szCs w:val="21"/>
              </w:rPr>
              <w:t>　</w:t>
            </w:r>
            <w:r>
              <w:rPr>
                <w:rFonts w:hint="eastAsia" w:ascii="仿宋_GB2312" w:hAnsi="Calibri" w:eastAsia="仿宋_GB2312" w:cs="Calibri"/>
                <w:color w:val="000000"/>
                <w:kern w:val="0"/>
                <w:szCs w:val="21"/>
                <w:lang w:val="en-US" w:eastAsia="zh-CN"/>
              </w:rPr>
              <w:t>0</w:t>
            </w:r>
          </w:p>
        </w:tc>
      </w:tr>
      <w:tr>
        <w:tblPrEx>
          <w:tblCellMar>
            <w:top w:w="0" w:type="dxa"/>
            <w:left w:w="108" w:type="dxa"/>
            <w:bottom w:w="0" w:type="dxa"/>
            <w:right w:w="108" w:type="dxa"/>
          </w:tblCellMar>
        </w:tblPrEx>
        <w:trPr>
          <w:trHeight w:val="567" w:hRule="atLeast"/>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第二十条第（五）项</w:t>
            </w:r>
          </w:p>
        </w:tc>
      </w:tr>
      <w:tr>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本年处理决定数量</w:t>
            </w:r>
          </w:p>
        </w:tc>
      </w:tr>
      <w:tr>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行政许可</w:t>
            </w:r>
          </w:p>
        </w:tc>
        <w:tc>
          <w:tcPr>
            <w:tcW w:w="6618" w:type="dxa"/>
            <w:gridSpan w:val="3"/>
            <w:tcBorders>
              <w:top w:val="single" w:color="auto" w:sz="8" w:space="0"/>
              <w:left w:val="nil"/>
              <w:bottom w:val="single" w:color="auto" w:sz="8" w:space="0"/>
              <w:right w:val="single" w:color="000000" w:sz="8" w:space="0"/>
            </w:tcBorders>
            <w:noWrap w:val="0"/>
            <w:vAlign w:val="center"/>
          </w:tcPr>
          <w:p>
            <w:pPr>
              <w:widowControl/>
              <w:jc w:val="left"/>
              <w:rPr>
                <w:rFonts w:hint="eastAsia" w:ascii="仿宋_GB2312" w:hAnsi="Calibri" w:eastAsia="仿宋_GB2312" w:cs="Calibri"/>
                <w:color w:val="000000"/>
                <w:kern w:val="0"/>
                <w:szCs w:val="21"/>
                <w:lang w:val="en-US" w:eastAsia="zh-CN"/>
              </w:rPr>
            </w:pPr>
            <w:r>
              <w:rPr>
                <w:rFonts w:hint="eastAsia" w:ascii="仿宋_GB2312" w:hAnsi="Calibri" w:eastAsia="仿宋_GB2312" w:cs="Calibri"/>
                <w:color w:val="000000"/>
                <w:kern w:val="0"/>
                <w:szCs w:val="21"/>
              </w:rPr>
              <w:t>　</w:t>
            </w:r>
            <w:r>
              <w:rPr>
                <w:rFonts w:hint="eastAsia" w:ascii="仿宋_GB2312" w:hAnsi="Calibri" w:eastAsia="仿宋_GB2312" w:cs="Calibri"/>
                <w:color w:val="000000"/>
                <w:kern w:val="0"/>
                <w:szCs w:val="21"/>
                <w:lang w:val="en-US" w:eastAsia="zh-CN"/>
              </w:rPr>
              <w:t>0</w:t>
            </w:r>
          </w:p>
        </w:tc>
      </w:tr>
      <w:tr>
        <w:tblPrEx>
          <w:tblCellMar>
            <w:top w:w="0" w:type="dxa"/>
            <w:left w:w="108" w:type="dxa"/>
            <w:bottom w:w="0" w:type="dxa"/>
            <w:right w:w="108" w:type="dxa"/>
          </w:tblCellMar>
        </w:tblPrEx>
        <w:trPr>
          <w:trHeight w:val="567" w:hRule="atLeast"/>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第二十条第（六）项</w:t>
            </w:r>
          </w:p>
        </w:tc>
      </w:tr>
      <w:tr>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本年处理决定数量</w:t>
            </w:r>
          </w:p>
        </w:tc>
      </w:tr>
      <w:tr>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4"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行政处罚</w:t>
            </w:r>
          </w:p>
        </w:tc>
        <w:tc>
          <w:tcPr>
            <w:tcW w:w="6618" w:type="dxa"/>
            <w:gridSpan w:val="3"/>
            <w:tcBorders>
              <w:top w:val="single" w:color="auto" w:sz="8" w:space="0"/>
              <w:left w:val="nil"/>
              <w:bottom w:val="single" w:color="auto" w:sz="4" w:space="0"/>
              <w:right w:val="single" w:color="000000" w:sz="8" w:space="0"/>
            </w:tcBorders>
            <w:noWrap w:val="0"/>
            <w:vAlign w:val="center"/>
          </w:tcPr>
          <w:p>
            <w:pPr>
              <w:widowControl/>
              <w:jc w:val="left"/>
              <w:rPr>
                <w:rFonts w:hint="eastAsia"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rPr>
              <w:t>　</w:t>
            </w:r>
            <w:r>
              <w:rPr>
                <w:rFonts w:hint="eastAsia" w:ascii="仿宋_GB2312" w:hAnsi="宋体" w:eastAsia="仿宋_GB2312" w:cs="宋体"/>
                <w:color w:val="000000"/>
                <w:kern w:val="0"/>
                <w:szCs w:val="21"/>
                <w:lang w:val="en-US" w:eastAsia="zh-CN"/>
              </w:rPr>
              <w:t>0</w:t>
            </w:r>
          </w:p>
        </w:tc>
      </w:tr>
      <w:tr>
        <w:tblPrEx>
          <w:tblCellMar>
            <w:top w:w="0" w:type="dxa"/>
            <w:left w:w="108" w:type="dxa"/>
            <w:bottom w:w="0" w:type="dxa"/>
            <w:right w:w="108" w:type="dxa"/>
          </w:tblCellMar>
        </w:tblPrEx>
        <w:trPr>
          <w:trHeight w:val="567" w:hRule="atLeast"/>
        </w:trPr>
        <w:tc>
          <w:tcPr>
            <w:tcW w:w="2206" w:type="dxa"/>
            <w:tcBorders>
              <w:top w:val="single" w:color="auto" w:sz="4" w:space="0"/>
              <w:left w:val="single" w:color="auto" w:sz="4" w:space="0"/>
              <w:bottom w:val="single" w:color="auto" w:sz="4"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行政强制</w:t>
            </w:r>
          </w:p>
        </w:tc>
        <w:tc>
          <w:tcPr>
            <w:tcW w:w="6618" w:type="dxa"/>
            <w:gridSpan w:val="3"/>
            <w:tcBorders>
              <w:top w:val="single" w:color="auto" w:sz="4" w:space="0"/>
              <w:left w:val="nil"/>
              <w:bottom w:val="single" w:color="auto" w:sz="4" w:space="0"/>
              <w:right w:val="single" w:color="auto" w:sz="4" w:space="0"/>
            </w:tcBorders>
            <w:noWrap w:val="0"/>
            <w:vAlign w:val="center"/>
          </w:tcPr>
          <w:p>
            <w:pPr>
              <w:widowControl/>
              <w:jc w:val="left"/>
              <w:rPr>
                <w:rFonts w:hint="eastAsia"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rPr>
              <w:t>　</w:t>
            </w:r>
            <w:r>
              <w:rPr>
                <w:rFonts w:hint="eastAsia" w:ascii="仿宋_GB2312" w:hAnsi="宋体" w:eastAsia="仿宋_GB2312" w:cs="宋体"/>
                <w:color w:val="000000"/>
                <w:kern w:val="0"/>
                <w:szCs w:val="21"/>
                <w:lang w:val="en-US" w:eastAsia="zh-CN"/>
              </w:rPr>
              <w:t>0</w:t>
            </w:r>
          </w:p>
        </w:tc>
      </w:tr>
      <w:tr>
        <w:tblPrEx>
          <w:tblCellMar>
            <w:top w:w="0" w:type="dxa"/>
            <w:left w:w="108" w:type="dxa"/>
            <w:bottom w:w="0" w:type="dxa"/>
            <w:right w:w="108" w:type="dxa"/>
          </w:tblCellMar>
        </w:tblPrEx>
        <w:trPr>
          <w:trHeight w:val="567" w:hRule="atLeast"/>
        </w:trPr>
        <w:tc>
          <w:tcPr>
            <w:tcW w:w="8824" w:type="dxa"/>
            <w:gridSpan w:val="4"/>
            <w:tcBorders>
              <w:top w:val="single" w:color="auto" w:sz="4" w:space="0"/>
              <w:left w:val="single" w:color="auto" w:sz="8" w:space="0"/>
              <w:bottom w:val="single" w:color="auto" w:sz="8" w:space="0"/>
              <w:right w:val="single" w:color="000000" w:sz="8" w:space="0"/>
            </w:tcBorders>
            <w:shd w:val="clear" w:color="000000" w:fill="C6D9F1"/>
            <w:noWrap w:val="0"/>
            <w:vAlign w:val="center"/>
          </w:tcPr>
          <w:p>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第二十条第（八）项</w:t>
            </w:r>
          </w:p>
        </w:tc>
      </w:tr>
      <w:tr>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本年收费金额（单位：万元）</w:t>
            </w:r>
          </w:p>
        </w:tc>
      </w:tr>
      <w:tr>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行政事业性收费</w:t>
            </w:r>
          </w:p>
        </w:tc>
        <w:tc>
          <w:tcPr>
            <w:tcW w:w="6618" w:type="dxa"/>
            <w:gridSpan w:val="3"/>
            <w:tcBorders>
              <w:top w:val="single" w:color="auto" w:sz="8" w:space="0"/>
              <w:left w:val="nil"/>
              <w:bottom w:val="single" w:color="auto" w:sz="8" w:space="0"/>
              <w:right w:val="single" w:color="000000" w:sz="8" w:space="0"/>
            </w:tcBorders>
            <w:noWrap w:val="0"/>
            <w:vAlign w:val="center"/>
          </w:tcPr>
          <w:p>
            <w:pPr>
              <w:widowControl/>
              <w:jc w:val="left"/>
              <w:rPr>
                <w:rFonts w:hint="eastAsia" w:ascii="仿宋_GB2312" w:hAnsi="Calibri" w:eastAsia="仿宋_GB2312" w:cs="Calibri"/>
                <w:color w:val="000000"/>
                <w:kern w:val="0"/>
                <w:szCs w:val="21"/>
                <w:lang w:val="en-US" w:eastAsia="zh-CN"/>
              </w:rPr>
            </w:pPr>
            <w:r>
              <w:rPr>
                <w:rFonts w:hint="eastAsia" w:ascii="仿宋_GB2312" w:hAnsi="Calibri" w:eastAsia="仿宋_GB2312" w:cs="Calibri"/>
                <w:color w:val="000000"/>
                <w:kern w:val="0"/>
                <w:szCs w:val="21"/>
              </w:rPr>
              <w:t>　</w:t>
            </w:r>
            <w:r>
              <w:rPr>
                <w:rFonts w:hint="eastAsia" w:ascii="仿宋_GB2312" w:hAnsi="Calibri" w:eastAsia="仿宋_GB2312" w:cs="Calibri"/>
                <w:color w:val="000000"/>
                <w:kern w:val="0"/>
                <w:szCs w:val="21"/>
                <w:lang w:val="en-US" w:eastAsia="zh-CN"/>
              </w:rPr>
              <w:t>0</w:t>
            </w:r>
          </w:p>
        </w:tc>
      </w:tr>
    </w:tbl>
    <w:p>
      <w:pPr>
        <w:pStyle w:val="7"/>
        <w:widowControl/>
        <w:shd w:val="clear" w:color="auto" w:fill="FFFFFF"/>
        <w:spacing w:beforeAutospacing="0" w:after="240" w:afterAutospacing="0"/>
        <w:ind w:firstLine="320" w:firstLineChars="100"/>
        <w:jc w:val="both"/>
        <w:rPr>
          <w:rFonts w:ascii="黑体" w:hAnsi="黑体" w:eastAsia="黑体" w:cs="黑体"/>
          <w:b w:val="0"/>
          <w:bCs/>
          <w:color w:val="333333"/>
          <w:sz w:val="32"/>
          <w:szCs w:val="32"/>
        </w:rPr>
      </w:pPr>
      <w:r>
        <w:rPr>
          <w:rFonts w:hint="eastAsia" w:ascii="黑体" w:hAnsi="黑体" w:eastAsia="黑体" w:cs="黑体"/>
          <w:b w:val="0"/>
          <w:bCs/>
          <w:color w:val="333333"/>
          <w:sz w:val="32"/>
          <w:szCs w:val="32"/>
          <w:shd w:val="clear" w:color="auto" w:fill="FFFFFF"/>
        </w:rPr>
        <w:t>三、收到和处理政府</w:t>
      </w:r>
      <w:bookmarkStart w:id="10" w:name="_GoBack"/>
      <w:bookmarkEnd w:id="10"/>
      <w:r>
        <w:rPr>
          <w:rFonts w:hint="eastAsia" w:ascii="黑体" w:hAnsi="黑体" w:eastAsia="黑体" w:cs="黑体"/>
          <w:b w:val="0"/>
          <w:bCs/>
          <w:color w:val="333333"/>
          <w:sz w:val="32"/>
          <w:szCs w:val="32"/>
          <w:shd w:val="clear" w:color="auto" w:fill="FFFFFF"/>
        </w:rPr>
        <w:t>信息公开申请情况</w:t>
      </w:r>
    </w:p>
    <w:tbl>
      <w:tblPr>
        <w:tblStyle w:val="8"/>
        <w:tblW w:w="991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16"/>
        <w:gridCol w:w="1701"/>
        <w:gridCol w:w="2976"/>
        <w:gridCol w:w="829"/>
        <w:gridCol w:w="567"/>
        <w:gridCol w:w="567"/>
        <w:gridCol w:w="731"/>
        <w:gridCol w:w="708"/>
        <w:gridCol w:w="567"/>
        <w:gridCol w:w="85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13" w:hRule="atLeast"/>
          <w:jc w:val="center"/>
        </w:trPr>
        <w:tc>
          <w:tcPr>
            <w:tcW w:w="5093" w:type="dxa"/>
            <w:gridSpan w:val="3"/>
            <w:vMerge w:val="restart"/>
            <w:noWrap w:val="0"/>
            <w:tcMar>
              <w:left w:w="108" w:type="dxa"/>
              <w:right w:w="108" w:type="dxa"/>
            </w:tcMar>
            <w:vAlign w:val="center"/>
          </w:tcPr>
          <w:p>
            <w:pPr>
              <w:widowControl/>
              <w:jc w:val="center"/>
              <w:rPr>
                <w:rFonts w:ascii="楷体_GB2312" w:hAnsi="黑体" w:eastAsia="楷体_GB2312"/>
                <w:kern w:val="0"/>
                <w:szCs w:val="21"/>
              </w:rPr>
            </w:pPr>
            <w:r>
              <w:rPr>
                <w:rFonts w:hint="eastAsia" w:ascii="楷体_GB2312" w:hAnsi="黑体" w:eastAsia="楷体_GB2312"/>
                <w:kern w:val="0"/>
                <w:szCs w:val="21"/>
              </w:rPr>
              <w:t>（本列数据的勾稽关系为：第一项加第二项之和，</w:t>
            </w:r>
          </w:p>
          <w:p>
            <w:pPr>
              <w:widowControl/>
              <w:jc w:val="center"/>
              <w:rPr>
                <w:rFonts w:ascii="仿宋_GB2312" w:hAnsi="Times New Roman" w:eastAsia="仿宋_GB2312"/>
                <w:szCs w:val="21"/>
              </w:rPr>
            </w:pPr>
            <w:r>
              <w:rPr>
                <w:rFonts w:hint="eastAsia" w:ascii="楷体_GB2312" w:hAnsi="黑体" w:eastAsia="楷体_GB2312"/>
                <w:kern w:val="0"/>
                <w:szCs w:val="21"/>
              </w:rPr>
              <w:t>等于第三项加第四项之和）</w:t>
            </w:r>
          </w:p>
        </w:tc>
        <w:tc>
          <w:tcPr>
            <w:tcW w:w="4820" w:type="dxa"/>
            <w:gridSpan w:val="7"/>
            <w:noWrap w:val="0"/>
            <w:tcMar>
              <w:left w:w="108" w:type="dxa"/>
              <w:right w:w="108" w:type="dxa"/>
            </w:tcMar>
            <w:vAlign w:val="center"/>
          </w:tcPr>
          <w:p>
            <w:pPr>
              <w:widowControl/>
              <w:spacing w:line="320" w:lineRule="exact"/>
              <w:jc w:val="center"/>
              <w:rPr>
                <w:rFonts w:ascii="黑体" w:hAnsi="黑体" w:eastAsia="黑体"/>
                <w:szCs w:val="21"/>
              </w:rPr>
            </w:pPr>
            <w:r>
              <w:rPr>
                <w:rFonts w:hint="eastAsia" w:ascii="黑体" w:hAnsi="黑体" w:eastAsia="黑体"/>
                <w:kern w:val="0"/>
                <w:szCs w:val="21"/>
              </w:rPr>
              <w:t>申请人情况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5093" w:type="dxa"/>
            <w:gridSpan w:val="3"/>
            <w:vMerge w:val="continue"/>
            <w:noWrap w:val="0"/>
            <w:tcMar>
              <w:left w:w="108" w:type="dxa"/>
              <w:right w:w="108" w:type="dxa"/>
            </w:tcMar>
            <w:vAlign w:val="center"/>
          </w:tcPr>
          <w:p>
            <w:pPr>
              <w:jc w:val="center"/>
              <w:rPr>
                <w:rFonts w:ascii="仿宋_GB2312" w:hAnsi="Times New Roman" w:eastAsia="仿宋_GB2312"/>
                <w:szCs w:val="21"/>
              </w:rPr>
            </w:pPr>
          </w:p>
        </w:tc>
        <w:tc>
          <w:tcPr>
            <w:tcW w:w="829" w:type="dxa"/>
            <w:vMerge w:val="restart"/>
            <w:noWrap w:val="0"/>
            <w:tcMar>
              <w:left w:w="108" w:type="dxa"/>
              <w:right w:w="108" w:type="dxa"/>
            </w:tcMar>
            <w:vAlign w:val="center"/>
          </w:tcPr>
          <w:p>
            <w:pPr>
              <w:widowControl/>
              <w:jc w:val="center"/>
              <w:rPr>
                <w:rFonts w:ascii="黑体" w:hAnsi="黑体" w:eastAsia="黑体"/>
                <w:szCs w:val="21"/>
              </w:rPr>
            </w:pPr>
            <w:r>
              <w:rPr>
                <w:rFonts w:hint="eastAsia" w:ascii="黑体" w:hAnsi="黑体" w:eastAsia="黑体"/>
                <w:kern w:val="0"/>
                <w:szCs w:val="21"/>
              </w:rPr>
              <w:t>自然人</w:t>
            </w:r>
          </w:p>
        </w:tc>
        <w:tc>
          <w:tcPr>
            <w:tcW w:w="3140" w:type="dxa"/>
            <w:gridSpan w:val="5"/>
            <w:noWrap w:val="0"/>
            <w:tcMar>
              <w:left w:w="108" w:type="dxa"/>
              <w:right w:w="108" w:type="dxa"/>
            </w:tcMar>
            <w:vAlign w:val="center"/>
          </w:tcPr>
          <w:p>
            <w:pPr>
              <w:widowControl/>
              <w:spacing w:line="320" w:lineRule="exact"/>
              <w:jc w:val="center"/>
              <w:rPr>
                <w:rFonts w:ascii="黑体" w:hAnsi="黑体" w:eastAsia="黑体"/>
                <w:szCs w:val="21"/>
              </w:rPr>
            </w:pPr>
            <w:r>
              <w:rPr>
                <w:rFonts w:hint="eastAsia" w:ascii="黑体" w:hAnsi="黑体" w:eastAsia="黑体"/>
                <w:kern w:val="0"/>
                <w:szCs w:val="21"/>
              </w:rPr>
              <w:t>法人或其他组织</w:t>
            </w:r>
          </w:p>
        </w:tc>
        <w:tc>
          <w:tcPr>
            <w:tcW w:w="851" w:type="dxa"/>
            <w:vMerge w:val="restart"/>
            <w:noWrap w:val="0"/>
            <w:tcMar>
              <w:left w:w="108" w:type="dxa"/>
              <w:right w:w="108" w:type="dxa"/>
            </w:tcMar>
            <w:vAlign w:val="center"/>
          </w:tcPr>
          <w:p>
            <w:pPr>
              <w:widowControl/>
              <w:jc w:val="center"/>
              <w:rPr>
                <w:rFonts w:ascii="黑体" w:hAnsi="黑体" w:eastAsia="黑体"/>
                <w:szCs w:val="21"/>
              </w:rPr>
            </w:pPr>
            <w:r>
              <w:rPr>
                <w:rFonts w:hint="eastAsia" w:ascii="黑体" w:hAnsi="黑体" w:eastAsia="黑体"/>
                <w:kern w:val="0"/>
                <w:szCs w:val="21"/>
              </w:rPr>
              <w:t>总计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22" w:hRule="atLeast"/>
          <w:jc w:val="center"/>
        </w:trPr>
        <w:tc>
          <w:tcPr>
            <w:tcW w:w="5093" w:type="dxa"/>
            <w:gridSpan w:val="3"/>
            <w:vMerge w:val="continue"/>
            <w:noWrap w:val="0"/>
            <w:tcMar>
              <w:left w:w="108" w:type="dxa"/>
              <w:right w:w="108" w:type="dxa"/>
            </w:tcMar>
            <w:vAlign w:val="center"/>
          </w:tcPr>
          <w:p>
            <w:pPr>
              <w:jc w:val="center"/>
              <w:rPr>
                <w:rFonts w:ascii="仿宋_GB2312" w:hAnsi="Times New Roman" w:eastAsia="仿宋_GB2312"/>
                <w:szCs w:val="21"/>
              </w:rPr>
            </w:pPr>
          </w:p>
        </w:tc>
        <w:tc>
          <w:tcPr>
            <w:tcW w:w="829" w:type="dxa"/>
            <w:vMerge w:val="continue"/>
            <w:noWrap w:val="0"/>
            <w:tcMar>
              <w:left w:w="108" w:type="dxa"/>
              <w:right w:w="108" w:type="dxa"/>
            </w:tcMar>
            <w:vAlign w:val="center"/>
          </w:tcPr>
          <w:p>
            <w:pPr>
              <w:jc w:val="center"/>
              <w:rPr>
                <w:rFonts w:ascii="黑体" w:hAnsi="黑体" w:eastAsia="黑体"/>
                <w:szCs w:val="21"/>
              </w:rPr>
            </w:pPr>
          </w:p>
        </w:tc>
        <w:tc>
          <w:tcPr>
            <w:tcW w:w="567" w:type="dxa"/>
            <w:noWrap w:val="0"/>
            <w:tcMar>
              <w:left w:w="108" w:type="dxa"/>
              <w:right w:w="108" w:type="dxa"/>
            </w:tcMar>
            <w:vAlign w:val="center"/>
          </w:tcPr>
          <w:p>
            <w:pPr>
              <w:widowControl/>
              <w:spacing w:line="320" w:lineRule="exact"/>
              <w:ind w:left="-106" w:leftChars="-51" w:right="-107" w:rightChars="-51" w:hanging="1"/>
              <w:jc w:val="center"/>
              <w:rPr>
                <w:rFonts w:ascii="黑体" w:hAnsi="黑体" w:eastAsia="黑体"/>
                <w:szCs w:val="21"/>
              </w:rPr>
            </w:pPr>
            <w:r>
              <w:rPr>
                <w:rFonts w:hint="eastAsia" w:ascii="黑体" w:hAnsi="黑体" w:eastAsia="黑体"/>
                <w:kern w:val="0"/>
                <w:szCs w:val="21"/>
              </w:rPr>
              <w:t>商业企业</w:t>
            </w:r>
          </w:p>
        </w:tc>
        <w:tc>
          <w:tcPr>
            <w:tcW w:w="567" w:type="dxa"/>
            <w:noWrap w:val="0"/>
            <w:tcMar>
              <w:left w:w="108" w:type="dxa"/>
              <w:right w:w="108" w:type="dxa"/>
            </w:tcMar>
            <w:vAlign w:val="center"/>
          </w:tcPr>
          <w:p>
            <w:pPr>
              <w:widowControl/>
              <w:spacing w:line="320" w:lineRule="exact"/>
              <w:ind w:left="-107" w:leftChars="-51" w:right="-107" w:rightChars="-51"/>
              <w:jc w:val="center"/>
              <w:rPr>
                <w:rFonts w:ascii="黑体" w:hAnsi="黑体" w:eastAsia="黑体"/>
                <w:szCs w:val="21"/>
              </w:rPr>
            </w:pPr>
            <w:r>
              <w:rPr>
                <w:rFonts w:hint="eastAsia" w:ascii="黑体" w:hAnsi="黑体" w:eastAsia="黑体"/>
                <w:kern w:val="0"/>
                <w:szCs w:val="21"/>
              </w:rPr>
              <w:t>科研机构</w:t>
            </w:r>
          </w:p>
        </w:tc>
        <w:tc>
          <w:tcPr>
            <w:tcW w:w="731" w:type="dxa"/>
            <w:noWrap w:val="0"/>
            <w:tcMar>
              <w:left w:w="108" w:type="dxa"/>
              <w:right w:w="108" w:type="dxa"/>
            </w:tcMar>
            <w:vAlign w:val="center"/>
          </w:tcPr>
          <w:p>
            <w:pPr>
              <w:widowControl/>
              <w:spacing w:line="320" w:lineRule="exact"/>
              <w:ind w:left="-107" w:leftChars="-51" w:right="-107" w:rightChars="-51"/>
              <w:jc w:val="center"/>
              <w:rPr>
                <w:rFonts w:ascii="黑体" w:hAnsi="黑体" w:eastAsia="黑体"/>
                <w:szCs w:val="21"/>
              </w:rPr>
            </w:pPr>
            <w:r>
              <w:rPr>
                <w:rFonts w:hint="eastAsia" w:ascii="黑体" w:hAnsi="黑体" w:eastAsia="黑体"/>
                <w:kern w:val="0"/>
                <w:szCs w:val="21"/>
              </w:rPr>
              <w:t>社会公益组织</w:t>
            </w:r>
          </w:p>
        </w:tc>
        <w:tc>
          <w:tcPr>
            <w:tcW w:w="708" w:type="dxa"/>
            <w:noWrap w:val="0"/>
            <w:tcMar>
              <w:left w:w="108" w:type="dxa"/>
              <w:right w:w="108" w:type="dxa"/>
            </w:tcMar>
            <w:vAlign w:val="center"/>
          </w:tcPr>
          <w:p>
            <w:pPr>
              <w:widowControl/>
              <w:spacing w:line="320" w:lineRule="exact"/>
              <w:ind w:left="-106" w:leftChars="-51" w:right="-107" w:rightChars="-51" w:hanging="1"/>
              <w:jc w:val="center"/>
              <w:rPr>
                <w:rFonts w:ascii="黑体" w:hAnsi="黑体" w:eastAsia="黑体"/>
                <w:szCs w:val="21"/>
              </w:rPr>
            </w:pPr>
            <w:r>
              <w:rPr>
                <w:rFonts w:hint="eastAsia" w:ascii="黑体" w:hAnsi="黑体" w:eastAsia="黑体"/>
                <w:kern w:val="0"/>
                <w:szCs w:val="21"/>
              </w:rPr>
              <w:t>法律服务机构</w:t>
            </w:r>
          </w:p>
        </w:tc>
        <w:tc>
          <w:tcPr>
            <w:tcW w:w="567" w:type="dxa"/>
            <w:noWrap w:val="0"/>
            <w:tcMar>
              <w:left w:w="108" w:type="dxa"/>
              <w:right w:w="108" w:type="dxa"/>
            </w:tcMar>
            <w:vAlign w:val="center"/>
          </w:tcPr>
          <w:p>
            <w:pPr>
              <w:widowControl/>
              <w:spacing w:line="360" w:lineRule="exact"/>
              <w:ind w:left="-63" w:leftChars="-30" w:right="-134" w:rightChars="-64"/>
              <w:jc w:val="center"/>
              <w:rPr>
                <w:rFonts w:ascii="黑体" w:hAnsi="黑体" w:eastAsia="黑体"/>
                <w:szCs w:val="21"/>
              </w:rPr>
            </w:pPr>
            <w:r>
              <w:rPr>
                <w:rFonts w:hint="eastAsia" w:ascii="黑体" w:hAnsi="黑体" w:eastAsia="黑体"/>
                <w:kern w:val="0"/>
                <w:szCs w:val="21"/>
              </w:rPr>
              <w:t>其他</w:t>
            </w:r>
          </w:p>
        </w:tc>
        <w:tc>
          <w:tcPr>
            <w:tcW w:w="851" w:type="dxa"/>
            <w:vMerge w:val="continue"/>
            <w:noWrap w:val="0"/>
            <w:tcMar>
              <w:left w:w="108" w:type="dxa"/>
              <w:right w:w="108" w:type="dxa"/>
            </w:tcMar>
            <w:vAlign w:val="center"/>
          </w:tcPr>
          <w:p>
            <w:pPr>
              <w:jc w:val="center"/>
              <w:rPr>
                <w:rFonts w:ascii="仿宋_GB2312" w:hAnsi="Times New Roman" w:eastAsia="仿宋_GB231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5093" w:type="dxa"/>
            <w:gridSpan w:val="3"/>
            <w:noWrap w:val="0"/>
            <w:tcMar>
              <w:left w:w="108" w:type="dxa"/>
              <w:right w:w="108" w:type="dxa"/>
            </w:tcMar>
            <w:vAlign w:val="center"/>
          </w:tcPr>
          <w:p>
            <w:pPr>
              <w:widowControl/>
              <w:rPr>
                <w:rFonts w:ascii="黑体" w:hAnsi="黑体" w:eastAsia="黑体"/>
                <w:szCs w:val="21"/>
              </w:rPr>
            </w:pPr>
            <w:r>
              <w:rPr>
                <w:rFonts w:hint="eastAsia" w:ascii="黑体" w:hAnsi="黑体" w:eastAsia="黑体"/>
                <w:kern w:val="0"/>
                <w:szCs w:val="21"/>
              </w:rPr>
              <w:t>一、</w:t>
            </w:r>
            <w:bookmarkStart w:id="0" w:name="_Hlk66973412"/>
            <w:r>
              <w:rPr>
                <w:rFonts w:hint="eastAsia" w:ascii="黑体" w:hAnsi="黑体" w:eastAsia="黑体"/>
                <w:kern w:val="0"/>
                <w:szCs w:val="21"/>
              </w:rPr>
              <w:t>本年新收政府信息公开申请数量</w:t>
            </w:r>
            <w:bookmarkEnd w:id="0"/>
          </w:p>
        </w:tc>
        <w:tc>
          <w:tcPr>
            <w:tcW w:w="829"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49</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9</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58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5093" w:type="dxa"/>
            <w:gridSpan w:val="3"/>
            <w:noWrap w:val="0"/>
            <w:tcMar>
              <w:left w:w="108" w:type="dxa"/>
              <w:right w:w="108" w:type="dxa"/>
            </w:tcMar>
            <w:vAlign w:val="center"/>
          </w:tcPr>
          <w:p>
            <w:pPr>
              <w:widowControl/>
              <w:rPr>
                <w:rFonts w:ascii="黑体" w:hAnsi="黑体" w:eastAsia="黑体"/>
                <w:szCs w:val="21"/>
              </w:rPr>
            </w:pPr>
            <w:r>
              <w:rPr>
                <w:rFonts w:hint="eastAsia" w:ascii="黑体" w:hAnsi="黑体" w:eastAsia="黑体"/>
                <w:kern w:val="0"/>
                <w:szCs w:val="21"/>
              </w:rPr>
              <w:t>二、上年结转政府信息公开申请数量</w:t>
            </w:r>
          </w:p>
        </w:tc>
        <w:tc>
          <w:tcPr>
            <w:tcW w:w="829"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restart"/>
            <w:noWrap w:val="0"/>
            <w:tcMar>
              <w:left w:w="108" w:type="dxa"/>
              <w:right w:w="108" w:type="dxa"/>
            </w:tcMar>
            <w:vAlign w:val="center"/>
          </w:tcPr>
          <w:p>
            <w:pPr>
              <w:widowControl/>
              <w:spacing w:after="180"/>
              <w:rPr>
                <w:rFonts w:ascii="黑体" w:hAnsi="黑体" w:eastAsia="黑体"/>
                <w:szCs w:val="21"/>
              </w:rPr>
            </w:pPr>
            <w:r>
              <w:rPr>
                <w:rFonts w:hint="eastAsia" w:ascii="黑体" w:hAnsi="黑体" w:eastAsia="黑体"/>
                <w:kern w:val="0"/>
                <w:szCs w:val="21"/>
              </w:rPr>
              <w:t>三、本年度办理结果</w:t>
            </w:r>
          </w:p>
        </w:tc>
        <w:tc>
          <w:tcPr>
            <w:tcW w:w="4677" w:type="dxa"/>
            <w:gridSpan w:val="2"/>
            <w:noWrap w:val="0"/>
            <w:tcMar>
              <w:left w:w="108" w:type="dxa"/>
              <w:right w:w="108" w:type="dxa"/>
            </w:tcMar>
            <w:vAlign w:val="center"/>
          </w:tcPr>
          <w:p>
            <w:pPr>
              <w:widowControl/>
              <w:rPr>
                <w:rFonts w:ascii="黑体" w:hAnsi="黑体" w:eastAsia="黑体"/>
                <w:szCs w:val="21"/>
              </w:rPr>
            </w:pPr>
            <w:r>
              <w:rPr>
                <w:rFonts w:hint="eastAsia" w:ascii="黑体" w:hAnsi="黑体" w:eastAsia="黑体"/>
                <w:kern w:val="0"/>
                <w:szCs w:val="21"/>
              </w:rPr>
              <w:t>（一）予以公开</w:t>
            </w:r>
          </w:p>
        </w:tc>
        <w:tc>
          <w:tcPr>
            <w:tcW w:w="829"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12</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2</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14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pPr>
              <w:rPr>
                <w:rFonts w:ascii="黑体" w:hAnsi="黑体" w:eastAsia="黑体"/>
                <w:szCs w:val="21"/>
              </w:rPr>
            </w:pPr>
          </w:p>
        </w:tc>
        <w:tc>
          <w:tcPr>
            <w:tcW w:w="4677" w:type="dxa"/>
            <w:gridSpan w:val="2"/>
            <w:noWrap w:val="0"/>
            <w:tcMar>
              <w:left w:w="108" w:type="dxa"/>
              <w:right w:w="108" w:type="dxa"/>
            </w:tcMar>
            <w:vAlign w:val="center"/>
          </w:tcPr>
          <w:p>
            <w:pPr>
              <w:widowControl/>
              <w:rPr>
                <w:rFonts w:ascii="黑体" w:hAnsi="黑体" w:eastAsia="黑体"/>
                <w:szCs w:val="21"/>
              </w:rPr>
            </w:pPr>
            <w:r>
              <w:rPr>
                <w:rFonts w:hint="eastAsia" w:ascii="黑体" w:hAnsi="黑体" w:eastAsia="黑体"/>
                <w:kern w:val="0"/>
                <w:szCs w:val="21"/>
              </w:rPr>
              <w:t>（二）部分公开（</w:t>
            </w:r>
            <w:bookmarkStart w:id="1" w:name="_Hlk66973981"/>
            <w:r>
              <w:rPr>
                <w:rFonts w:hint="eastAsia" w:ascii="黑体" w:hAnsi="黑体" w:eastAsia="黑体"/>
                <w:kern w:val="0"/>
                <w:szCs w:val="21"/>
              </w:rPr>
              <w:t>区分处理的，只计这一情形，不计其他情形</w:t>
            </w:r>
            <w:bookmarkEnd w:id="1"/>
            <w:r>
              <w:rPr>
                <w:rFonts w:hint="eastAsia" w:ascii="黑体" w:hAnsi="黑体" w:eastAsia="黑体"/>
                <w:kern w:val="0"/>
                <w:szCs w:val="21"/>
              </w:rPr>
              <w:t>）</w:t>
            </w:r>
          </w:p>
        </w:tc>
        <w:tc>
          <w:tcPr>
            <w:tcW w:w="829"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9</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1</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restart"/>
            <w:noWrap w:val="0"/>
            <w:tcMar>
              <w:left w:w="108" w:type="dxa"/>
              <w:right w:w="108" w:type="dxa"/>
            </w:tcMar>
            <w:vAlign w:val="center"/>
          </w:tcPr>
          <w:p>
            <w:pPr>
              <w:widowControl/>
              <w:spacing w:line="200" w:lineRule="exact"/>
              <w:ind w:left="-107" w:leftChars="-51"/>
              <w:rPr>
                <w:rFonts w:ascii="黑体" w:hAnsi="黑体" w:eastAsia="黑体"/>
                <w:szCs w:val="21"/>
              </w:rPr>
            </w:pPr>
            <w:r>
              <w:rPr>
                <w:rFonts w:hint="eastAsia" w:ascii="黑体" w:hAnsi="黑体" w:eastAsia="黑体"/>
                <w:kern w:val="0"/>
                <w:szCs w:val="21"/>
              </w:rPr>
              <w:t>（三）不予公开</w:t>
            </w: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1.属于国家秘密</w:t>
            </w:r>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2.</w:t>
            </w:r>
            <w:bookmarkStart w:id="2" w:name="_Hlk66974104"/>
            <w:r>
              <w:rPr>
                <w:rFonts w:hint="eastAsia" w:ascii="仿宋_GB2312" w:hAnsi="黑体" w:eastAsia="仿宋_GB2312"/>
                <w:kern w:val="0"/>
                <w:szCs w:val="21"/>
              </w:rPr>
              <w:t>其他法律行政法规禁止公开</w:t>
            </w:r>
            <w:bookmarkEnd w:id="2"/>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3.危及“三安全一稳定”</w:t>
            </w:r>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4.</w:t>
            </w:r>
            <w:bookmarkStart w:id="3" w:name="_Hlk66974290"/>
            <w:r>
              <w:rPr>
                <w:rFonts w:hint="eastAsia" w:ascii="仿宋_GB2312" w:hAnsi="黑体" w:eastAsia="仿宋_GB2312"/>
                <w:kern w:val="0"/>
                <w:szCs w:val="21"/>
              </w:rPr>
              <w:t>保护第三方合法权益</w:t>
            </w:r>
            <w:bookmarkEnd w:id="3"/>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1</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5.属于三类内部事务信息</w:t>
            </w:r>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6.</w:t>
            </w:r>
            <w:bookmarkStart w:id="4" w:name="_Hlk66974555"/>
            <w:r>
              <w:rPr>
                <w:rFonts w:hint="eastAsia" w:ascii="仿宋_GB2312" w:hAnsi="黑体" w:eastAsia="仿宋_GB2312"/>
                <w:kern w:val="0"/>
                <w:szCs w:val="21"/>
              </w:rPr>
              <w:t>属于四类过程性信息</w:t>
            </w:r>
            <w:bookmarkEnd w:id="4"/>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7.属于行政执法案卷</w:t>
            </w:r>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8.</w:t>
            </w:r>
            <w:bookmarkStart w:id="5" w:name="_Hlk66975211"/>
            <w:r>
              <w:rPr>
                <w:rFonts w:hint="eastAsia" w:ascii="仿宋_GB2312" w:hAnsi="黑体" w:eastAsia="仿宋_GB2312"/>
                <w:kern w:val="0"/>
                <w:szCs w:val="21"/>
              </w:rPr>
              <w:t>属于行政查询事项</w:t>
            </w:r>
            <w:bookmarkEnd w:id="5"/>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restart"/>
            <w:noWrap w:val="0"/>
            <w:tcMar>
              <w:left w:w="108" w:type="dxa"/>
              <w:right w:w="108" w:type="dxa"/>
            </w:tcMar>
            <w:vAlign w:val="center"/>
          </w:tcPr>
          <w:p>
            <w:pPr>
              <w:widowControl/>
              <w:spacing w:line="200" w:lineRule="exact"/>
              <w:ind w:left="-107" w:leftChars="-51"/>
              <w:rPr>
                <w:rFonts w:ascii="黑体" w:hAnsi="黑体" w:eastAsia="黑体"/>
                <w:szCs w:val="21"/>
              </w:rPr>
            </w:pPr>
            <w:r>
              <w:rPr>
                <w:rFonts w:hint="eastAsia" w:ascii="黑体" w:hAnsi="黑体" w:eastAsia="黑体"/>
                <w:kern w:val="0"/>
                <w:szCs w:val="21"/>
              </w:rPr>
              <w:t>（四）无法提供</w:t>
            </w: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1.本机关不掌握相关政府信息</w:t>
            </w:r>
          </w:p>
        </w:tc>
        <w:tc>
          <w:tcPr>
            <w:tcW w:w="829" w:type="dxa"/>
            <w:noWrap w:val="0"/>
            <w:tcMar>
              <w:left w:w="108" w:type="dxa"/>
              <w:right w:w="108" w:type="dxa"/>
            </w:tcMar>
            <w:vAlign w:val="center"/>
          </w:tcPr>
          <w:p>
            <w:pPr>
              <w:widowControl/>
              <w:spacing w:after="180" w:line="200" w:lineRule="exact"/>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15</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6</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21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ind w:left="-107" w:leftChars="-51"/>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2.</w:t>
            </w:r>
            <w:bookmarkStart w:id="6" w:name="_Hlk66975392"/>
            <w:r>
              <w:rPr>
                <w:rFonts w:hint="eastAsia" w:ascii="仿宋_GB2312" w:hAnsi="黑体" w:eastAsia="仿宋_GB2312"/>
                <w:kern w:val="0"/>
                <w:szCs w:val="21"/>
              </w:rPr>
              <w:t>没有现成信息需要另行制作</w:t>
            </w:r>
            <w:bookmarkEnd w:id="6"/>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ind w:left="-107" w:leftChars="-51"/>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3.</w:t>
            </w:r>
            <w:bookmarkStart w:id="7" w:name="_Hlk66975466"/>
            <w:r>
              <w:rPr>
                <w:rFonts w:hint="eastAsia" w:ascii="仿宋_GB2312" w:hAnsi="黑体" w:eastAsia="仿宋_GB2312"/>
                <w:kern w:val="0"/>
                <w:szCs w:val="21"/>
              </w:rPr>
              <w:t>补正后申请内容仍不明确</w:t>
            </w:r>
            <w:bookmarkEnd w:id="7"/>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restart"/>
            <w:noWrap w:val="0"/>
            <w:tcMar>
              <w:left w:w="108" w:type="dxa"/>
              <w:right w:w="108" w:type="dxa"/>
            </w:tcMar>
            <w:vAlign w:val="center"/>
          </w:tcPr>
          <w:p>
            <w:pPr>
              <w:widowControl/>
              <w:spacing w:line="200" w:lineRule="exact"/>
              <w:ind w:left="-107" w:leftChars="-51"/>
              <w:rPr>
                <w:rFonts w:ascii="黑体" w:hAnsi="黑体" w:eastAsia="黑体"/>
                <w:szCs w:val="21"/>
              </w:rPr>
            </w:pPr>
            <w:r>
              <w:rPr>
                <w:rFonts w:hint="eastAsia" w:ascii="黑体" w:hAnsi="黑体" w:eastAsia="黑体"/>
                <w:kern w:val="0"/>
                <w:szCs w:val="21"/>
              </w:rPr>
              <w:t>（五）不予处理</w:t>
            </w: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1.</w:t>
            </w:r>
            <w:bookmarkStart w:id="8" w:name="_Hlk66975537"/>
            <w:r>
              <w:rPr>
                <w:rFonts w:hint="eastAsia" w:ascii="仿宋_GB2312" w:hAnsi="黑体" w:eastAsia="仿宋_GB2312"/>
                <w:kern w:val="0"/>
                <w:szCs w:val="21"/>
              </w:rPr>
              <w:t>信访举报投诉类申请</w:t>
            </w:r>
            <w:bookmarkEnd w:id="8"/>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9</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2.重复申请</w:t>
            </w:r>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szCs w:val="21"/>
              </w:rPr>
            </w:pPr>
            <w:r>
              <w:rPr>
                <w:rFonts w:hint="eastAsia" w:ascii="仿宋_GB2312" w:hAnsi="黑体" w:eastAsia="仿宋_GB2312"/>
                <w:kern w:val="0"/>
                <w:szCs w:val="21"/>
              </w:rPr>
              <w:t>3.要求提供公开出版物</w:t>
            </w:r>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szCs w:val="21"/>
              </w:rPr>
            </w:pPr>
            <w:r>
              <w:rPr>
                <w:rFonts w:hint="eastAsia" w:ascii="仿宋_GB2312" w:hAnsi="黑体" w:eastAsia="仿宋_GB2312"/>
                <w:kern w:val="0"/>
                <w:szCs w:val="21"/>
              </w:rPr>
              <w:t>4.无正当理由大量反复申请</w:t>
            </w:r>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300" w:lineRule="exact"/>
              <w:rPr>
                <w:rFonts w:ascii="仿宋_GB2312" w:hAnsi="黑体" w:eastAsia="仿宋_GB2312"/>
                <w:kern w:val="0"/>
                <w:szCs w:val="21"/>
              </w:rPr>
            </w:pPr>
            <w:r>
              <w:rPr>
                <w:rFonts w:hint="eastAsia" w:ascii="仿宋_GB2312" w:hAnsi="黑体" w:eastAsia="仿宋_GB2312"/>
                <w:kern w:val="0"/>
                <w:szCs w:val="21"/>
              </w:rPr>
              <w:t>5.要求行政机关确认或重新</w:t>
            </w:r>
          </w:p>
          <w:p>
            <w:pPr>
              <w:widowControl/>
              <w:spacing w:line="300" w:lineRule="exact"/>
              <w:ind w:firstLine="210" w:firstLineChars="100"/>
              <w:rPr>
                <w:rFonts w:ascii="仿宋_GB2312" w:hAnsi="黑体" w:eastAsia="仿宋_GB2312"/>
                <w:szCs w:val="21"/>
              </w:rPr>
            </w:pPr>
            <w:r>
              <w:rPr>
                <w:rFonts w:hint="eastAsia" w:ascii="仿宋_GB2312" w:hAnsi="黑体" w:eastAsia="仿宋_GB2312"/>
                <w:kern w:val="0"/>
                <w:szCs w:val="21"/>
              </w:rPr>
              <w:t>出具已获取信息</w:t>
            </w:r>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restart"/>
            <w:noWrap w:val="0"/>
            <w:tcMar>
              <w:left w:w="108" w:type="dxa"/>
              <w:right w:w="108" w:type="dxa"/>
            </w:tcMar>
            <w:vAlign w:val="center"/>
          </w:tcPr>
          <w:p>
            <w:pPr>
              <w:widowControl/>
              <w:spacing w:line="300" w:lineRule="exact"/>
              <w:rPr>
                <w:rFonts w:ascii="黑体" w:hAnsi="黑体" w:eastAsia="黑体"/>
                <w:kern w:val="0"/>
                <w:szCs w:val="21"/>
              </w:rPr>
            </w:pPr>
            <w:r>
              <w:rPr>
                <w:rFonts w:hint="eastAsia" w:ascii="黑体" w:hAnsi="黑体" w:eastAsia="黑体"/>
                <w:kern w:val="0"/>
                <w:szCs w:val="21"/>
              </w:rPr>
              <w:t>（六）其他处理</w:t>
            </w:r>
          </w:p>
        </w:tc>
        <w:tc>
          <w:tcPr>
            <w:tcW w:w="2976" w:type="dxa"/>
            <w:noWrap w:val="0"/>
            <w:vAlign w:val="center"/>
          </w:tcPr>
          <w:p>
            <w:pPr>
              <w:widowControl/>
              <w:spacing w:line="300" w:lineRule="exact"/>
              <w:rPr>
                <w:rFonts w:ascii="仿宋_GB2312" w:hAnsi="楷体" w:eastAsia="仿宋_GB2312"/>
              </w:rPr>
            </w:pPr>
            <w:r>
              <w:rPr>
                <w:rFonts w:hint="eastAsia" w:ascii="仿宋_GB2312" w:hAnsi="楷体" w:eastAsia="仿宋_GB2312"/>
              </w:rPr>
              <w:t>1.申请人无正当理由逾期不补正、行政机关不再处理其政府信息公开申请</w:t>
            </w:r>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3</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widowControl/>
              <w:spacing w:line="300" w:lineRule="exact"/>
              <w:rPr>
                <w:rFonts w:ascii="黑体" w:hAnsi="黑体" w:eastAsia="黑体"/>
                <w:kern w:val="0"/>
                <w:szCs w:val="21"/>
              </w:rPr>
            </w:pPr>
          </w:p>
        </w:tc>
        <w:tc>
          <w:tcPr>
            <w:tcW w:w="2976" w:type="dxa"/>
            <w:noWrap w:val="0"/>
            <w:vAlign w:val="center"/>
          </w:tcPr>
          <w:p>
            <w:pPr>
              <w:widowControl/>
              <w:spacing w:line="300" w:lineRule="exact"/>
              <w:rPr>
                <w:rFonts w:ascii="仿宋_GB2312" w:hAnsi="黑体" w:eastAsia="仿宋_GB2312"/>
                <w:kern w:val="0"/>
                <w:szCs w:val="21"/>
              </w:rPr>
            </w:pPr>
            <w:r>
              <w:rPr>
                <w:rFonts w:hint="eastAsia" w:ascii="仿宋_GB2312" w:hAnsi="楷体" w:eastAsia="仿宋_GB2312"/>
              </w:rPr>
              <w:t>2.申请人逾期未按收费通知要求缴纳费用、行政机关不再处理其政府信息公开申请</w:t>
            </w:r>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widowControl/>
              <w:spacing w:line="300" w:lineRule="exact"/>
              <w:rPr>
                <w:rFonts w:ascii="黑体" w:hAnsi="黑体" w:eastAsia="黑体"/>
                <w:kern w:val="0"/>
                <w:szCs w:val="21"/>
              </w:rPr>
            </w:pPr>
          </w:p>
        </w:tc>
        <w:tc>
          <w:tcPr>
            <w:tcW w:w="2976" w:type="dxa"/>
            <w:noWrap w:val="0"/>
            <w:vAlign w:val="center"/>
          </w:tcPr>
          <w:p>
            <w:pPr>
              <w:widowControl/>
              <w:spacing w:line="300" w:lineRule="exact"/>
              <w:rPr>
                <w:rFonts w:ascii="仿宋_GB2312" w:hAnsi="黑体" w:eastAsia="仿宋_GB2312"/>
                <w:kern w:val="0"/>
                <w:szCs w:val="21"/>
              </w:rPr>
            </w:pPr>
            <w:r>
              <w:rPr>
                <w:rFonts w:hint="eastAsia" w:ascii="仿宋_GB2312" w:hAnsi="楷体" w:eastAsia="仿宋_GB2312"/>
              </w:rPr>
              <w:t>3.其他</w:t>
            </w:r>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pPr>
              <w:rPr>
                <w:rFonts w:ascii="黑体" w:hAnsi="黑体" w:eastAsia="黑体"/>
                <w:szCs w:val="21"/>
              </w:rPr>
            </w:pPr>
          </w:p>
        </w:tc>
        <w:tc>
          <w:tcPr>
            <w:tcW w:w="4677" w:type="dxa"/>
            <w:gridSpan w:val="2"/>
            <w:noWrap w:val="0"/>
            <w:tcMar>
              <w:left w:w="108" w:type="dxa"/>
              <w:right w:w="108" w:type="dxa"/>
            </w:tcMar>
            <w:vAlign w:val="center"/>
          </w:tcPr>
          <w:p>
            <w:pPr>
              <w:widowControl/>
              <w:spacing w:line="300" w:lineRule="exact"/>
              <w:rPr>
                <w:rFonts w:ascii="黑体" w:hAnsi="黑体" w:eastAsia="黑体"/>
                <w:kern w:val="0"/>
                <w:szCs w:val="21"/>
              </w:rPr>
            </w:pPr>
            <w:r>
              <w:rPr>
                <w:rFonts w:hint="eastAsia" w:ascii="黑体" w:hAnsi="黑体" w:eastAsia="黑体"/>
                <w:kern w:val="0"/>
                <w:szCs w:val="21"/>
              </w:rPr>
              <w:t>（七）总计</w:t>
            </w:r>
          </w:p>
        </w:tc>
        <w:tc>
          <w:tcPr>
            <w:tcW w:w="829" w:type="dxa"/>
            <w:noWrap w:val="0"/>
            <w:tcMar>
              <w:left w:w="108" w:type="dxa"/>
              <w:right w:w="108" w:type="dxa"/>
            </w:tcMar>
            <w:vAlign w:val="center"/>
          </w:tcPr>
          <w:p>
            <w:pPr>
              <w:widowControl/>
              <w:spacing w:after="180" w:line="200" w:lineRule="exact"/>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49</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9</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58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093" w:type="dxa"/>
            <w:gridSpan w:val="3"/>
            <w:noWrap w:val="0"/>
            <w:tcMar>
              <w:left w:w="108" w:type="dxa"/>
              <w:right w:w="108" w:type="dxa"/>
            </w:tcMar>
            <w:vAlign w:val="center"/>
          </w:tcPr>
          <w:p>
            <w:pPr>
              <w:widowControl/>
              <w:spacing w:line="300" w:lineRule="exact"/>
              <w:rPr>
                <w:rFonts w:ascii="黑体" w:hAnsi="黑体" w:eastAsia="黑体"/>
                <w:kern w:val="0"/>
                <w:szCs w:val="21"/>
              </w:rPr>
            </w:pPr>
            <w:r>
              <w:rPr>
                <w:rFonts w:hint="eastAsia" w:ascii="黑体" w:hAnsi="黑体" w:eastAsia="黑体"/>
                <w:kern w:val="0"/>
                <w:szCs w:val="21"/>
              </w:rPr>
              <w:t>四、结转下年度继续办理</w:t>
            </w:r>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bl>
    <w:p>
      <w:pPr>
        <w:pStyle w:val="7"/>
        <w:widowControl/>
        <w:shd w:val="clear" w:color="auto" w:fill="FFFFFF"/>
        <w:spacing w:beforeAutospacing="0" w:afterAutospacing="0"/>
        <w:jc w:val="both"/>
        <w:rPr>
          <w:rFonts w:ascii="宋体" w:hAnsi="宋体" w:eastAsia="宋体" w:cs="宋体"/>
          <w:color w:val="333333"/>
        </w:rPr>
      </w:pPr>
    </w:p>
    <w:p>
      <w:pPr>
        <w:pStyle w:val="7"/>
        <w:widowControl/>
        <w:shd w:val="clear" w:color="auto" w:fill="FFFFFF"/>
        <w:spacing w:beforeAutospacing="0" w:afterAutospacing="0"/>
        <w:ind w:firstLine="420"/>
        <w:jc w:val="both"/>
        <w:rPr>
          <w:rFonts w:ascii="黑体" w:hAnsi="黑体" w:eastAsia="黑体" w:cs="宋体"/>
          <w:color w:val="333333"/>
          <w:sz w:val="32"/>
          <w:szCs w:val="32"/>
        </w:rPr>
      </w:pPr>
      <w:r>
        <w:rPr>
          <w:rFonts w:hint="eastAsia" w:ascii="黑体" w:hAnsi="黑体" w:eastAsia="黑体" w:cs="宋体"/>
          <w:color w:val="333333"/>
          <w:sz w:val="32"/>
          <w:szCs w:val="32"/>
          <w:shd w:val="clear" w:color="auto" w:fill="FFFFFF"/>
        </w:rPr>
        <w:t>四、政府信息公开行政复议、行政诉讼情况</w:t>
      </w:r>
    </w:p>
    <w:p>
      <w:pPr>
        <w:pStyle w:val="7"/>
        <w:widowControl/>
        <w:shd w:val="clear" w:color="auto" w:fill="FFFFFF"/>
        <w:spacing w:beforeAutospacing="0" w:afterAutospacing="0"/>
        <w:ind w:firstLine="420"/>
        <w:jc w:val="both"/>
        <w:rPr>
          <w:rFonts w:ascii="宋体" w:hAnsi="宋体" w:eastAsia="宋体" w:cs="宋体"/>
          <w:color w:val="333333"/>
        </w:rPr>
      </w:pPr>
    </w:p>
    <w:tbl>
      <w:tblPr>
        <w:tblStyle w:val="8"/>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97" w:hRule="atLeast"/>
          <w:jc w:val="center"/>
        </w:trPr>
        <w:tc>
          <w:tcPr>
            <w:tcW w:w="3074"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行政复议</w:t>
            </w:r>
          </w:p>
        </w:tc>
        <w:tc>
          <w:tcPr>
            <w:tcW w:w="5997" w:type="dxa"/>
            <w:gridSpan w:val="10"/>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7" w:hRule="atLeast"/>
          <w:jc w:val="center"/>
        </w:trPr>
        <w:tc>
          <w:tcPr>
            <w:tcW w:w="604"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ind w:left="-149" w:leftChars="-71" w:right="-170" w:rightChars="-81"/>
              <w:jc w:val="center"/>
              <w:rPr>
                <w:rFonts w:ascii="黑体" w:hAnsi="黑体" w:eastAsia="黑体"/>
                <w:kern w:val="0"/>
                <w:sz w:val="20"/>
                <w:szCs w:val="20"/>
              </w:rPr>
            </w:pPr>
            <w:r>
              <w:rPr>
                <w:rFonts w:ascii="黑体" w:hAnsi="黑体" w:eastAsia="黑体"/>
                <w:kern w:val="0"/>
                <w:sz w:val="20"/>
                <w:szCs w:val="20"/>
              </w:rPr>
              <w:t>结果</w:t>
            </w:r>
          </w:p>
          <w:p>
            <w:pPr>
              <w:widowControl/>
              <w:ind w:left="-149" w:leftChars="-71" w:right="-170" w:rightChars="-81"/>
              <w:jc w:val="center"/>
              <w:rPr>
                <w:rFonts w:ascii="黑体" w:hAnsi="黑体" w:eastAsia="黑体"/>
              </w:rPr>
            </w:pPr>
            <w:r>
              <w:rPr>
                <w:rFonts w:ascii="黑体" w:hAnsi="黑体" w:eastAsia="黑体"/>
                <w:kern w:val="0"/>
                <w:sz w:val="20"/>
                <w:szCs w:val="20"/>
              </w:rPr>
              <w:t>维持</w:t>
            </w:r>
          </w:p>
        </w:tc>
        <w:tc>
          <w:tcPr>
            <w:tcW w:w="604" w:type="dxa"/>
            <w:vMerge w:val="restart"/>
            <w:tcBorders>
              <w:top w:val="nil"/>
              <w:left w:val="nil"/>
              <w:bottom w:val="single" w:color="auto" w:sz="8" w:space="0"/>
              <w:right w:val="single" w:color="auto" w:sz="8" w:space="0"/>
            </w:tcBorders>
            <w:noWrap w:val="0"/>
            <w:tcMar>
              <w:left w:w="108" w:type="dxa"/>
              <w:right w:w="108" w:type="dxa"/>
            </w:tcMar>
            <w:vAlign w:val="center"/>
          </w:tcPr>
          <w:p>
            <w:pPr>
              <w:widowControl/>
              <w:ind w:left="-43" w:leftChars="-21" w:right="-132" w:rightChars="-63" w:hanging="1"/>
              <w:jc w:val="center"/>
              <w:rPr>
                <w:rFonts w:ascii="黑体" w:hAnsi="黑体" w:eastAsia="黑体"/>
              </w:rPr>
            </w:pPr>
            <w:r>
              <w:rPr>
                <w:rFonts w:ascii="黑体" w:hAnsi="黑体" w:eastAsia="黑体"/>
                <w:kern w:val="0"/>
                <w:sz w:val="20"/>
                <w:szCs w:val="20"/>
              </w:rPr>
              <w:t>结果纠正</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82" w:leftChars="-39" w:right="-97" w:rightChars="-46"/>
              <w:jc w:val="center"/>
              <w:rPr>
                <w:rFonts w:ascii="黑体" w:hAnsi="黑体" w:eastAsia="黑体"/>
              </w:rPr>
            </w:pPr>
            <w:r>
              <w:rPr>
                <w:rFonts w:ascii="黑体" w:hAnsi="黑体" w:eastAsia="黑体"/>
                <w:kern w:val="0"/>
                <w:sz w:val="20"/>
                <w:szCs w:val="20"/>
              </w:rPr>
              <w:t>其他结果</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18" w:leftChars="-56" w:right="-118" w:rightChars="-56"/>
              <w:jc w:val="center"/>
              <w:rPr>
                <w:rFonts w:ascii="黑体" w:hAnsi="黑体" w:eastAsia="黑体"/>
                <w:kern w:val="0"/>
                <w:sz w:val="20"/>
                <w:szCs w:val="20"/>
              </w:rPr>
            </w:pPr>
            <w:r>
              <w:rPr>
                <w:rFonts w:ascii="黑体" w:hAnsi="黑体" w:eastAsia="黑体"/>
                <w:kern w:val="0"/>
                <w:sz w:val="20"/>
                <w:szCs w:val="20"/>
              </w:rPr>
              <w:t>尚未</w:t>
            </w:r>
          </w:p>
          <w:p>
            <w:pPr>
              <w:widowControl/>
              <w:ind w:left="-118" w:leftChars="-56" w:right="-118" w:rightChars="-56"/>
              <w:jc w:val="center"/>
              <w:rPr>
                <w:rFonts w:ascii="黑体" w:hAnsi="黑体" w:eastAsia="黑体"/>
              </w:rPr>
            </w:pPr>
            <w:r>
              <w:rPr>
                <w:rFonts w:ascii="黑体" w:hAnsi="黑体" w:eastAsia="黑体"/>
                <w:kern w:val="0"/>
                <w:sz w:val="20"/>
                <w:szCs w:val="20"/>
              </w:rPr>
              <w:t>审结</w:t>
            </w:r>
          </w:p>
        </w:tc>
        <w:tc>
          <w:tcPr>
            <w:tcW w:w="658"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spacing w:line="320" w:lineRule="exact"/>
              <w:jc w:val="center"/>
              <w:rPr>
                <w:rFonts w:ascii="黑体" w:hAnsi="黑体" w:eastAsia="黑体"/>
                <w:kern w:val="0"/>
                <w:sz w:val="20"/>
                <w:szCs w:val="20"/>
              </w:rPr>
            </w:pPr>
            <w:r>
              <w:rPr>
                <w:rFonts w:ascii="黑体" w:hAnsi="黑体" w:eastAsia="黑体"/>
                <w:kern w:val="0"/>
                <w:sz w:val="20"/>
                <w:szCs w:val="20"/>
              </w:rPr>
              <w:t>总</w:t>
            </w:r>
          </w:p>
          <w:p>
            <w:pPr>
              <w:widowControl/>
              <w:spacing w:line="320" w:lineRule="exact"/>
              <w:jc w:val="center"/>
              <w:rPr>
                <w:rFonts w:ascii="黑体" w:hAnsi="黑体" w:eastAsia="黑体"/>
              </w:rPr>
            </w:pPr>
            <w:r>
              <w:rPr>
                <w:rFonts w:ascii="黑体" w:hAnsi="黑体" w:eastAsia="黑体"/>
                <w:kern w:val="0"/>
                <w:sz w:val="20"/>
                <w:szCs w:val="20"/>
              </w:rPr>
              <w:t>计</w:t>
            </w:r>
          </w:p>
        </w:tc>
        <w:tc>
          <w:tcPr>
            <w:tcW w:w="2970"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未经复议直接起诉</w:t>
            </w:r>
          </w:p>
        </w:tc>
        <w:tc>
          <w:tcPr>
            <w:tcW w:w="3027"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bookmarkStart w:id="9" w:name="_Hlk67039688"/>
            <w:r>
              <w:rPr>
                <w:rFonts w:ascii="黑体" w:hAnsi="黑体" w:eastAsia="黑体"/>
                <w:kern w:val="0"/>
                <w:sz w:val="20"/>
                <w:szCs w:val="20"/>
              </w:rPr>
              <w:t>复议后起诉</w:t>
            </w:r>
            <w:bookmarkEnd w:id="9"/>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6" w:hRule="atLeast"/>
          <w:jc w:val="center"/>
        </w:trPr>
        <w:tc>
          <w:tcPr>
            <w:tcW w:w="604"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604" w:type="dxa"/>
            <w:vMerge w:val="continue"/>
            <w:tcBorders>
              <w:top w:val="nil"/>
              <w:left w:val="nil"/>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658"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550" w:type="dxa"/>
            <w:tcBorders>
              <w:top w:val="nil"/>
              <w:left w:val="nil"/>
              <w:bottom w:val="single" w:color="auto" w:sz="8" w:space="0"/>
              <w:right w:val="single" w:color="auto" w:sz="8" w:space="0"/>
            </w:tcBorders>
            <w:noWrap w:val="0"/>
            <w:tcMar>
              <w:left w:w="108" w:type="dxa"/>
              <w:right w:w="108" w:type="dxa"/>
            </w:tcMar>
            <w:vAlign w:val="center"/>
          </w:tcPr>
          <w:p>
            <w:pPr>
              <w:widowControl/>
              <w:ind w:left="-105" w:leftChars="-50" w:right="-126" w:rightChars="-60"/>
              <w:jc w:val="center"/>
              <w:rPr>
                <w:rFonts w:ascii="黑体" w:hAnsi="黑体" w:eastAsia="黑体"/>
              </w:rPr>
            </w:pPr>
            <w:r>
              <w:rPr>
                <w:rFonts w:ascii="黑体" w:hAnsi="黑体" w:eastAsia="黑体"/>
                <w:kern w:val="0"/>
                <w:sz w:val="20"/>
                <w:szCs w:val="20"/>
              </w:rPr>
              <w:t>结果维持</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ind w:left="-86" w:leftChars="-41" w:right="-88" w:rightChars="-42"/>
              <w:jc w:val="center"/>
              <w:rPr>
                <w:rFonts w:ascii="黑体" w:hAnsi="黑体" w:eastAsia="黑体"/>
              </w:rPr>
            </w:pPr>
            <w:r>
              <w:rPr>
                <w:rFonts w:ascii="黑体" w:hAnsi="黑体" w:eastAsia="黑体"/>
                <w:kern w:val="0"/>
                <w:sz w:val="20"/>
                <w:szCs w:val="20"/>
              </w:rPr>
              <w:t>结果纠正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26" w:leftChars="-60" w:right="-136" w:rightChars="-65"/>
              <w:jc w:val="center"/>
              <w:rPr>
                <w:rFonts w:ascii="黑体" w:hAnsi="黑体" w:eastAsia="黑体"/>
                <w:kern w:val="0"/>
                <w:sz w:val="20"/>
                <w:szCs w:val="20"/>
              </w:rPr>
            </w:pPr>
            <w:r>
              <w:rPr>
                <w:rFonts w:ascii="黑体" w:hAnsi="黑体" w:eastAsia="黑体"/>
                <w:kern w:val="0"/>
                <w:sz w:val="20"/>
                <w:szCs w:val="20"/>
              </w:rPr>
              <w:t>其他</w:t>
            </w:r>
          </w:p>
          <w:p>
            <w:pPr>
              <w:widowControl/>
              <w:ind w:left="-126" w:leftChars="-60" w:right="-136" w:rightChars="-65"/>
              <w:jc w:val="center"/>
              <w:rPr>
                <w:rFonts w:ascii="黑体" w:hAnsi="黑体" w:eastAsia="黑体"/>
              </w:rPr>
            </w:pPr>
            <w:r>
              <w:rPr>
                <w:rFonts w:ascii="黑体" w:hAnsi="黑体" w:eastAsia="黑体"/>
                <w:kern w:val="0"/>
                <w:sz w:val="20"/>
                <w:szCs w:val="20"/>
              </w:rPr>
              <w:t>结果</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64" w:leftChars="-78" w:right="-153" w:rightChars="-73"/>
              <w:jc w:val="center"/>
              <w:rPr>
                <w:rFonts w:ascii="黑体" w:hAnsi="黑体" w:eastAsia="黑体"/>
                <w:kern w:val="0"/>
                <w:sz w:val="20"/>
                <w:szCs w:val="20"/>
              </w:rPr>
            </w:pPr>
            <w:r>
              <w:rPr>
                <w:rFonts w:ascii="黑体" w:hAnsi="黑体" w:eastAsia="黑体"/>
                <w:kern w:val="0"/>
                <w:sz w:val="20"/>
                <w:szCs w:val="20"/>
              </w:rPr>
              <w:t>尚未</w:t>
            </w:r>
          </w:p>
          <w:p>
            <w:pPr>
              <w:widowControl/>
              <w:ind w:left="-164" w:leftChars="-78" w:right="-153" w:rightChars="-73"/>
              <w:jc w:val="center"/>
              <w:rPr>
                <w:rFonts w:ascii="黑体" w:hAnsi="黑体" w:eastAsia="黑体"/>
              </w:rPr>
            </w:pPr>
            <w:r>
              <w:rPr>
                <w:rFonts w:ascii="黑体" w:hAnsi="黑体" w:eastAsia="黑体"/>
                <w:kern w:val="0"/>
                <w:sz w:val="20"/>
                <w:szCs w:val="20"/>
              </w:rPr>
              <w:t>审结</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总计</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99" w:leftChars="-47" w:right="-78" w:rightChars="-37"/>
              <w:jc w:val="center"/>
              <w:rPr>
                <w:rFonts w:ascii="黑体" w:hAnsi="黑体" w:eastAsia="黑体"/>
              </w:rPr>
            </w:pPr>
            <w:r>
              <w:rPr>
                <w:rFonts w:ascii="黑体" w:hAnsi="黑体" w:eastAsia="黑体"/>
                <w:kern w:val="0"/>
                <w:sz w:val="20"/>
                <w:szCs w:val="20"/>
              </w:rPr>
              <w:t>结果维持</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36" w:leftChars="-65" w:right="-124" w:rightChars="-59"/>
              <w:jc w:val="center"/>
              <w:rPr>
                <w:rFonts w:ascii="黑体" w:hAnsi="黑体" w:eastAsia="黑体"/>
                <w:kern w:val="0"/>
                <w:sz w:val="20"/>
                <w:szCs w:val="20"/>
              </w:rPr>
            </w:pPr>
            <w:r>
              <w:rPr>
                <w:rFonts w:ascii="黑体" w:hAnsi="黑体" w:eastAsia="黑体"/>
                <w:kern w:val="0"/>
                <w:sz w:val="20"/>
                <w:szCs w:val="20"/>
              </w:rPr>
              <w:t>结果</w:t>
            </w:r>
          </w:p>
          <w:p>
            <w:pPr>
              <w:widowControl/>
              <w:ind w:left="-136" w:leftChars="-65" w:right="-124" w:rightChars="-59"/>
              <w:jc w:val="center"/>
              <w:rPr>
                <w:rFonts w:ascii="黑体" w:hAnsi="黑体" w:eastAsia="黑体"/>
              </w:rPr>
            </w:pPr>
            <w:r>
              <w:rPr>
                <w:rFonts w:ascii="黑体" w:hAnsi="黑体" w:eastAsia="黑体"/>
                <w:kern w:val="0"/>
                <w:sz w:val="20"/>
                <w:szCs w:val="20"/>
              </w:rPr>
              <w:t>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73" w:leftChars="-83" w:right="-134" w:rightChars="-64" w:hanging="1"/>
              <w:jc w:val="center"/>
              <w:rPr>
                <w:rFonts w:ascii="黑体" w:hAnsi="黑体" w:eastAsia="黑体"/>
                <w:kern w:val="0"/>
                <w:sz w:val="20"/>
                <w:szCs w:val="20"/>
              </w:rPr>
            </w:pPr>
            <w:r>
              <w:rPr>
                <w:rFonts w:ascii="黑体" w:hAnsi="黑体" w:eastAsia="黑体"/>
                <w:kern w:val="0"/>
                <w:sz w:val="20"/>
                <w:szCs w:val="20"/>
              </w:rPr>
              <w:t>其他</w:t>
            </w:r>
          </w:p>
          <w:p>
            <w:pPr>
              <w:widowControl/>
              <w:ind w:left="-173" w:leftChars="-83" w:right="-134" w:rightChars="-64" w:hanging="1"/>
              <w:jc w:val="center"/>
              <w:rPr>
                <w:rFonts w:ascii="黑体" w:hAnsi="黑体" w:eastAsia="黑体"/>
              </w:rPr>
            </w:pPr>
            <w:r>
              <w:rPr>
                <w:rFonts w:ascii="黑体" w:hAnsi="黑体" w:eastAsia="黑体"/>
                <w:kern w:val="0"/>
                <w:sz w:val="20"/>
                <w:szCs w:val="20"/>
              </w:rPr>
              <w:t>结果</w:t>
            </w:r>
          </w:p>
        </w:tc>
        <w:tc>
          <w:tcPr>
            <w:tcW w:w="606"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67" w:leftChars="-33" w:right="-105" w:rightChars="-50" w:hanging="2" w:hangingChars="1"/>
              <w:jc w:val="center"/>
              <w:rPr>
                <w:rFonts w:ascii="黑体" w:hAnsi="黑体" w:eastAsia="黑体"/>
              </w:rPr>
            </w:pPr>
            <w:r>
              <w:rPr>
                <w:rFonts w:ascii="黑体" w:hAnsi="黑体" w:eastAsia="黑体"/>
                <w:kern w:val="0"/>
                <w:sz w:val="20"/>
                <w:szCs w:val="20"/>
              </w:rPr>
              <w:t>尚未审结</w:t>
            </w:r>
          </w:p>
        </w:tc>
        <w:tc>
          <w:tcPr>
            <w:tcW w:w="606"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1</w:t>
            </w:r>
          </w:p>
        </w:tc>
        <w:tc>
          <w:tcPr>
            <w:tcW w:w="604"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1</w:t>
            </w:r>
          </w:p>
        </w:tc>
        <w:tc>
          <w:tcPr>
            <w:tcW w:w="658"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2</w:t>
            </w:r>
          </w:p>
        </w:tc>
        <w:tc>
          <w:tcPr>
            <w:tcW w:w="550"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1</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1</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6"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6"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r>
    </w:tbl>
    <w:p>
      <w:pPr>
        <w:widowControl/>
        <w:shd w:val="clear" w:color="auto" w:fill="FFFFFF"/>
        <w:jc w:val="center"/>
        <w:rPr>
          <w:rFonts w:ascii="宋体" w:hAnsi="宋体" w:eastAsia="宋体" w:cs="宋体"/>
          <w:color w:val="333333"/>
          <w:sz w:val="24"/>
        </w:rPr>
      </w:pPr>
    </w:p>
    <w:p>
      <w:pPr>
        <w:pStyle w:val="7"/>
        <w:keepNext w:val="0"/>
        <w:keepLines w:val="0"/>
        <w:pageBreakBefore w:val="0"/>
        <w:widowControl/>
        <w:shd w:val="clear" w:color="auto" w:fill="FFFFFF"/>
        <w:kinsoku/>
        <w:wordWrap/>
        <w:overflowPunct/>
        <w:topLinePunct w:val="0"/>
        <w:autoSpaceDE/>
        <w:autoSpaceDN/>
        <w:bidi w:val="0"/>
        <w:spacing w:beforeAutospacing="0" w:afterAutospacing="0" w:line="540" w:lineRule="exact"/>
        <w:ind w:firstLine="420"/>
        <w:jc w:val="both"/>
        <w:textAlignment w:val="auto"/>
        <w:rPr>
          <w:rFonts w:ascii="黑体" w:hAnsi="黑体" w:eastAsia="黑体" w:cs="宋体"/>
          <w:color w:val="333333"/>
          <w:sz w:val="32"/>
          <w:szCs w:val="32"/>
        </w:rPr>
      </w:pPr>
      <w:r>
        <w:rPr>
          <w:rFonts w:hint="eastAsia" w:ascii="黑体" w:hAnsi="黑体" w:eastAsia="黑体" w:cs="宋体"/>
          <w:color w:val="333333"/>
          <w:sz w:val="32"/>
          <w:szCs w:val="32"/>
          <w:shd w:val="clear" w:color="auto" w:fill="FFFFFF"/>
        </w:rPr>
        <w:t>五、存在的主要问题及改进情况</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2021年，滕州市政府办公室坚持“以公开为常态、不公开为例外”原则，采取有效措施，加大培训力度，狠抓业务提升，取得良好成效。但仍存在基层政务公开标准化规范化工作深入不够、政策解读实用性不强、依申请公开办理质量有待提高的问题。</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针对存在的问题，市政府办公室将重点抓好以下工作：</w:t>
      </w:r>
      <w:r>
        <w:rPr>
          <w:rFonts w:hint="eastAsia" w:ascii="楷体_GB2312" w:eastAsia="楷体_GB2312" w:hAnsiTheme="minorHAnsi" w:cstheme="minorBidi"/>
          <w:b w:val="0"/>
          <w:bCs/>
          <w:kern w:val="2"/>
          <w:sz w:val="32"/>
          <w:szCs w:val="32"/>
          <w:lang w:val="en-US" w:eastAsia="zh-CN" w:bidi="ar-SA"/>
        </w:rPr>
        <w:t>一是全面推进基层政务公开标准化规范化建设</w:t>
      </w:r>
      <w:r>
        <w:rPr>
          <w:rFonts w:hint="eastAsia" w:ascii="楷体_GB2312" w:eastAsia="楷体_GB2312" w:cstheme="minorBidi"/>
          <w:b w:val="0"/>
          <w:bCs/>
          <w:kern w:val="2"/>
          <w:sz w:val="32"/>
          <w:szCs w:val="32"/>
          <w:lang w:val="en-US" w:eastAsia="zh-CN" w:bidi="ar-SA"/>
        </w:rPr>
        <w:t>。</w:t>
      </w:r>
      <w:r>
        <w:rPr>
          <w:rFonts w:hint="eastAsia" w:ascii="仿宋_GB2312" w:hAnsi="仿宋_GB2312" w:eastAsia="仿宋_GB2312" w:cs="仿宋_GB2312"/>
          <w:sz w:val="32"/>
          <w:szCs w:val="32"/>
          <w:lang w:val="en-US" w:eastAsia="zh-CN"/>
        </w:rPr>
        <w:t>细化标准目录，压实主体责任，提升标准化规范化水平。</w:t>
      </w:r>
      <w:r>
        <w:rPr>
          <w:rFonts w:hint="eastAsia" w:ascii="楷体_GB2312" w:eastAsia="楷体_GB2312" w:hAnsiTheme="minorHAnsi" w:cstheme="minorBidi"/>
          <w:b w:val="0"/>
          <w:bCs/>
          <w:kern w:val="2"/>
          <w:sz w:val="32"/>
          <w:szCs w:val="32"/>
          <w:lang w:val="en-US" w:eastAsia="zh-CN" w:bidi="ar-SA"/>
        </w:rPr>
        <w:t>二是推动政策解读提质增效</w:t>
      </w:r>
      <w:r>
        <w:rPr>
          <w:rFonts w:hint="eastAsia" w:ascii="楷体_GB2312" w:eastAsia="楷体_GB2312" w:cstheme="minorBidi"/>
          <w:b w:val="0"/>
          <w:bCs/>
          <w:kern w:val="2"/>
          <w:sz w:val="32"/>
          <w:szCs w:val="32"/>
          <w:lang w:val="en-US" w:eastAsia="zh-CN" w:bidi="ar-SA"/>
        </w:rPr>
        <w:t>。</w:t>
      </w:r>
      <w:r>
        <w:rPr>
          <w:rFonts w:hint="eastAsia" w:ascii="仿宋_GB2312" w:hAnsi="仿宋_GB2312" w:eastAsia="仿宋_GB2312" w:cs="仿宋_GB2312"/>
          <w:sz w:val="32"/>
          <w:szCs w:val="32"/>
          <w:lang w:val="en-US" w:eastAsia="zh-CN"/>
        </w:rPr>
        <w:t>严格落实政策性文件和解读材料“同步组织、同步审签、同步部署”制度，加大政策解读审核和指导，推进解读效果，确保群众“看得懂”“能明白”“信得过”。</w:t>
      </w:r>
      <w:r>
        <w:rPr>
          <w:rFonts w:hint="eastAsia" w:ascii="楷体_GB2312" w:eastAsia="楷体_GB2312" w:hAnsiTheme="minorHAnsi" w:cstheme="minorBidi"/>
          <w:b w:val="0"/>
          <w:bCs/>
          <w:kern w:val="2"/>
          <w:sz w:val="32"/>
          <w:szCs w:val="32"/>
          <w:lang w:val="en-US" w:eastAsia="zh-CN" w:bidi="ar-SA"/>
        </w:rPr>
        <w:t>三是持续强化队伍建设。</w:t>
      </w:r>
      <w:r>
        <w:rPr>
          <w:rFonts w:hint="eastAsia" w:ascii="仿宋_GB2312" w:hAnsi="仿宋_GB2312" w:eastAsia="仿宋_GB2312" w:cs="仿宋_GB2312"/>
          <w:sz w:val="32"/>
          <w:szCs w:val="32"/>
          <w:lang w:eastAsia="zh-CN"/>
        </w:rPr>
        <w:t>积极开展政务公开专题培训，尤其是依申请公开培训，杜绝“本领恐慌”，组织政务公开工作人员到先进地区学习，增强公开意识，吸收先进经验，全面提高政务公开工作人员的业务能力和素养。</w:t>
      </w:r>
      <w:r>
        <w:rPr>
          <w:rFonts w:hint="eastAsia" w:ascii="楷体_GB2312" w:eastAsia="楷体_GB2312" w:hAnsiTheme="minorHAnsi" w:cstheme="minorBidi"/>
          <w:b w:val="0"/>
          <w:bCs/>
          <w:kern w:val="2"/>
          <w:sz w:val="32"/>
          <w:szCs w:val="32"/>
          <w:lang w:val="en-US" w:eastAsia="zh-CN" w:bidi="ar-SA"/>
        </w:rPr>
        <w:t>四是积极探索创新</w:t>
      </w:r>
      <w:r>
        <w:rPr>
          <w:rFonts w:hint="eastAsia" w:ascii="楷体_GB2312" w:eastAsia="楷体_GB2312" w:cstheme="minorBidi"/>
          <w:b w:val="0"/>
          <w:bCs/>
          <w:kern w:val="2"/>
          <w:sz w:val="32"/>
          <w:szCs w:val="32"/>
          <w:lang w:val="en-US" w:eastAsia="zh-CN" w:bidi="ar-SA"/>
        </w:rPr>
        <w:t>。</w:t>
      </w:r>
      <w:r>
        <w:rPr>
          <w:rFonts w:hint="eastAsia" w:ascii="仿宋_GB2312" w:hAnsi="仿宋_GB2312" w:eastAsia="仿宋_GB2312" w:cs="仿宋_GB2312"/>
          <w:sz w:val="32"/>
          <w:szCs w:val="32"/>
          <w:lang w:val="en-US" w:eastAsia="zh-CN"/>
        </w:rPr>
        <w:t>持续推进公开制度机制、政策解读、政民互动、平台建设等创新突破，力促政务公开工作再上新台阶。</w:t>
      </w:r>
    </w:p>
    <w:p>
      <w:pPr>
        <w:pStyle w:val="7"/>
        <w:keepNext w:val="0"/>
        <w:keepLines w:val="0"/>
        <w:pageBreakBefore w:val="0"/>
        <w:widowControl/>
        <w:shd w:val="clear" w:color="auto" w:fill="FFFFFF"/>
        <w:kinsoku/>
        <w:wordWrap/>
        <w:overflowPunct/>
        <w:topLinePunct w:val="0"/>
        <w:autoSpaceDE/>
        <w:autoSpaceDN/>
        <w:bidi w:val="0"/>
        <w:spacing w:beforeAutospacing="0" w:afterAutospacing="0" w:line="540" w:lineRule="exact"/>
        <w:ind w:firstLine="640" w:firstLineChars="200"/>
        <w:jc w:val="both"/>
        <w:textAlignment w:val="auto"/>
        <w:rPr>
          <w:rFonts w:hint="eastAsia" w:ascii="黑体" w:hAnsi="黑体" w:eastAsia="黑体" w:cs="宋体"/>
          <w:color w:val="333333"/>
          <w:sz w:val="32"/>
          <w:szCs w:val="32"/>
          <w:shd w:val="clear" w:color="auto" w:fill="FFFFFF"/>
        </w:rPr>
      </w:pPr>
      <w:r>
        <w:rPr>
          <w:rFonts w:hint="eastAsia" w:ascii="黑体" w:hAnsi="黑体" w:eastAsia="黑体" w:cs="宋体"/>
          <w:color w:val="333333"/>
          <w:sz w:val="32"/>
          <w:szCs w:val="32"/>
          <w:shd w:val="clear" w:color="auto" w:fill="FFFFFF"/>
        </w:rPr>
        <w:t>六、其他需要报告的事项</w:t>
      </w:r>
    </w:p>
    <w:p>
      <w:pPr>
        <w:keepNext w:val="0"/>
        <w:keepLines w:val="0"/>
        <w:pageBreakBefore w:val="0"/>
        <w:kinsoku/>
        <w:wordWrap/>
        <w:overflowPunct/>
        <w:topLinePunct w:val="0"/>
        <w:autoSpaceDE/>
        <w:autoSpaceDN/>
        <w:bidi w:val="0"/>
        <w:spacing w:line="540" w:lineRule="exact"/>
        <w:ind w:firstLine="640" w:firstLineChars="200"/>
        <w:textAlignment w:val="auto"/>
        <w:rPr>
          <w:rFonts w:hint="eastAsia" w:ascii="仿宋_GB2312" w:eastAsia="仿宋_GB2312"/>
          <w:sz w:val="32"/>
          <w:szCs w:val="32"/>
          <w:lang w:eastAsia="zh-CN"/>
        </w:rPr>
      </w:pPr>
      <w:r>
        <w:rPr>
          <w:rFonts w:ascii="仿宋_GB2312" w:eastAsia="仿宋_GB2312"/>
          <w:sz w:val="32"/>
          <w:szCs w:val="32"/>
        </w:rPr>
        <w:t>1.</w:t>
      </w:r>
      <w:r>
        <w:rPr>
          <w:rFonts w:hint="eastAsia" w:ascii="仿宋_GB2312" w:eastAsia="仿宋_GB2312"/>
          <w:sz w:val="32"/>
          <w:szCs w:val="32"/>
          <w:lang w:eastAsia="zh-CN"/>
        </w:rPr>
        <w:t>本年度，政府办公室未收取</w:t>
      </w:r>
      <w:r>
        <w:rPr>
          <w:rFonts w:ascii="仿宋_GB2312" w:eastAsia="仿宋_GB2312"/>
          <w:sz w:val="32"/>
          <w:szCs w:val="32"/>
        </w:rPr>
        <w:t>信息处理费</w:t>
      </w:r>
      <w:r>
        <w:rPr>
          <w:rFonts w:hint="eastAsia" w:ascii="仿宋_GB2312" w:eastAsia="仿宋_GB2312"/>
          <w:sz w:val="32"/>
          <w:szCs w:val="32"/>
          <w:lang w:eastAsia="zh-CN"/>
        </w:rPr>
        <w:t>；</w:t>
      </w:r>
    </w:p>
    <w:p>
      <w:pPr>
        <w:keepNext w:val="0"/>
        <w:keepLines w:val="0"/>
        <w:pageBreakBefore w:val="0"/>
        <w:kinsoku/>
        <w:wordWrap/>
        <w:overflowPunct/>
        <w:topLinePunct w:val="0"/>
        <w:autoSpaceDE/>
        <w:autoSpaceDN/>
        <w:bidi w:val="0"/>
        <w:spacing w:line="540" w:lineRule="exact"/>
        <w:ind w:firstLine="640" w:firstLineChars="200"/>
        <w:textAlignment w:val="auto"/>
        <w:rPr>
          <w:rFonts w:ascii="仿宋_GB2312" w:eastAsia="仿宋_GB2312"/>
          <w:spacing w:val="-6"/>
          <w:sz w:val="32"/>
          <w:szCs w:val="32"/>
        </w:rPr>
      </w:pPr>
      <w:r>
        <w:rPr>
          <w:rFonts w:hint="eastAsia" w:ascii="仿宋_GB2312" w:eastAsia="仿宋_GB2312"/>
          <w:sz w:val="32"/>
          <w:szCs w:val="32"/>
          <w:lang w:val="en-US" w:eastAsia="zh-CN"/>
        </w:rPr>
        <w:t>2</w:t>
      </w:r>
      <w:r>
        <w:rPr>
          <w:rFonts w:ascii="仿宋_GB2312" w:eastAsia="仿宋_GB2312"/>
          <w:sz w:val="32"/>
          <w:szCs w:val="32"/>
        </w:rPr>
        <w:t>.</w:t>
      </w:r>
      <w:r>
        <w:rPr>
          <w:rFonts w:hint="eastAsia" w:ascii="仿宋_GB2312" w:eastAsia="仿宋_GB2312"/>
          <w:spacing w:val="-6"/>
          <w:sz w:val="32"/>
          <w:szCs w:val="32"/>
          <w:lang w:eastAsia="zh-CN"/>
        </w:rPr>
        <w:t>本年度，政府办公室未承办</w:t>
      </w:r>
      <w:r>
        <w:rPr>
          <w:rFonts w:ascii="仿宋_GB2312" w:eastAsia="仿宋_GB2312"/>
          <w:spacing w:val="-6"/>
          <w:sz w:val="32"/>
          <w:szCs w:val="32"/>
        </w:rPr>
        <w:t>人大代表建议和政协提案；</w:t>
      </w:r>
    </w:p>
    <w:p>
      <w:pPr>
        <w:keepNext w:val="0"/>
        <w:keepLines w:val="0"/>
        <w:pageBreakBefore w:val="0"/>
        <w:kinsoku/>
        <w:wordWrap/>
        <w:overflowPunct/>
        <w:topLinePunct w:val="0"/>
        <w:autoSpaceDE/>
        <w:autoSpaceDN/>
        <w:bidi w:val="0"/>
        <w:spacing w:line="54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3</w:t>
      </w:r>
      <w:r>
        <w:rPr>
          <w:rFonts w:ascii="仿宋_GB2312" w:eastAsia="仿宋_GB2312"/>
          <w:sz w:val="32"/>
          <w:szCs w:val="32"/>
        </w:rPr>
        <w:t>.</w:t>
      </w:r>
      <w:r>
        <w:rPr>
          <w:rFonts w:hint="eastAsia" w:ascii="仿宋_GB2312" w:eastAsia="仿宋_GB2312"/>
          <w:sz w:val="32"/>
          <w:szCs w:val="32"/>
          <w:lang w:eastAsia="zh-CN"/>
        </w:rPr>
        <w:t>本年度，政府办公室持续推进政府开放日、政务公开专区建设和优惠政策库等创新形式，并积极向政务公开看山东和政务公开看枣庄和省级以上媒体投稿，及时总结工作中的亮点和经验，目前在省级以上媒体刊发文章17篇。</w:t>
      </w:r>
    </w:p>
    <w:p>
      <w:pPr>
        <w:keepNext w:val="0"/>
        <w:keepLines w:val="0"/>
        <w:pageBreakBefore w:val="0"/>
        <w:kinsoku/>
        <w:wordWrap/>
        <w:overflowPunct/>
        <w:topLinePunct w:val="0"/>
        <w:autoSpaceDE/>
        <w:autoSpaceDN/>
        <w:bidi w:val="0"/>
        <w:spacing w:line="54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4</w:t>
      </w:r>
      <w:r>
        <w:rPr>
          <w:rFonts w:ascii="仿宋_GB2312" w:eastAsia="仿宋_GB2312"/>
          <w:sz w:val="32"/>
          <w:szCs w:val="32"/>
        </w:rPr>
        <w:t>.</w:t>
      </w:r>
      <w:r>
        <w:rPr>
          <w:rFonts w:hint="eastAsia" w:ascii="仿宋_GB2312" w:eastAsia="仿宋_GB2312"/>
          <w:sz w:val="32"/>
          <w:szCs w:val="32"/>
          <w:lang w:eastAsia="zh-CN"/>
        </w:rPr>
        <w:t>政府办公室</w:t>
      </w:r>
      <w:r>
        <w:rPr>
          <w:rFonts w:ascii="仿宋_GB2312" w:eastAsia="仿宋_GB2312"/>
          <w:sz w:val="32"/>
          <w:szCs w:val="32"/>
        </w:rPr>
        <w:t>政府信息公开工作年度报告数据统计</w:t>
      </w:r>
      <w:r>
        <w:rPr>
          <w:rFonts w:hint="eastAsia" w:ascii="仿宋_GB2312" w:eastAsia="仿宋_GB2312"/>
          <w:sz w:val="32"/>
          <w:szCs w:val="32"/>
          <w:lang w:eastAsia="zh-CN"/>
        </w:rPr>
        <w:t>真实准确。</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pPr>
      <w:r>
        <w:rPr>
          <w:rFonts w:hint="eastAsia" w:ascii="仿宋_GB2312" w:hAnsi="仿宋_GB2312" w:eastAsia="仿宋_GB2312" w:cs="仿宋_GB2312"/>
          <w:sz w:val="32"/>
          <w:szCs w:val="32"/>
          <w:lang w:val="en-US" w:eastAsia="zh-CN"/>
        </w:rPr>
        <w:t>5.本报告的电子版可在“中国滕州网”（http://www.tengzhou.gov.cn/）网站查询和下载。如对本报告有任何疑问，请与滕州市政府办公室政务公开办公室联系。 （地址：山东省滕州市北辛中路政务中心 625 房间，联系电话：0632—5513369，电子邮箱：</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"mailto:tzzwgk@zz.shandong.cn）。"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tzzwgk@zz.shandong.cn。</w:t>
      </w:r>
      <w:r>
        <w:rPr>
          <w:rFonts w:hint="eastAsia" w:ascii="仿宋_GB2312" w:hAnsi="仿宋_GB2312" w:eastAsia="仿宋_GB2312" w:cs="仿宋_GB2312"/>
          <w:sz w:val="32"/>
          <w:szCs w:val="32"/>
          <w:lang w:val="en-US" w:eastAsia="zh-CN"/>
        </w:rPr>
        <w:fldChar w:fldCharType="end"/>
      </w:r>
    </w:p>
    <w:sectPr>
      <w:headerReference r:id="rId3" w:type="default"/>
      <w:footerReference r:id="rId4" w:type="default"/>
      <w:pgSz w:w="11906" w:h="16838"/>
      <w:pgMar w:top="1383"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汉仪旗黑-55简">
    <w:altName w:val="方正黑体_GBK"/>
    <w:panose1 w:val="00020600040101010101"/>
    <w:charset w:val="86"/>
    <w:family w:val="auto"/>
    <w:pitch w:val="default"/>
    <w:sig w:usb0="00000000" w:usb1="00000000" w:usb2="00000000" w:usb3="00000000" w:csb0="00000000" w:csb1="00000000"/>
  </w:font>
  <w:font w:name="微软雅黑">
    <w:panose1 w:val="020B0503020204020204"/>
    <w:charset w:val="86"/>
    <w:family w:val="auto"/>
    <w:pitch w:val="default"/>
    <w:sig w:usb0="80000287" w:usb1="2A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新宋体">
    <w:altName w:val="方正书宋_GBK"/>
    <w:panose1 w:val="02010609030101010101"/>
    <w:charset w:val="86"/>
    <w:family w:val="auto"/>
    <w:pitch w:val="default"/>
    <w:sig w:usb0="00000000" w:usb1="00000000" w:usb2="0000000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新宋体" w:hAnsi="新宋体" w:eastAsia="新宋体" w:cs="新宋体"/>
                              <w:sz w:val="24"/>
                              <w:szCs w:val="24"/>
                            </w:rPr>
                            <w:fldChar w:fldCharType="begin"/>
                          </w:r>
                          <w:r>
                            <w:rPr>
                              <w:rFonts w:hint="eastAsia" w:ascii="新宋体" w:hAnsi="新宋体" w:eastAsia="新宋体" w:cs="新宋体"/>
                              <w:sz w:val="24"/>
                              <w:szCs w:val="24"/>
                            </w:rPr>
                            <w:instrText xml:space="preserve"> PAGE  \* MERGEFORMAT </w:instrText>
                          </w:r>
                          <w:r>
                            <w:rPr>
                              <w:rFonts w:hint="eastAsia" w:ascii="新宋体" w:hAnsi="新宋体" w:eastAsia="新宋体" w:cs="新宋体"/>
                              <w:sz w:val="24"/>
                              <w:szCs w:val="24"/>
                            </w:rPr>
                            <w:fldChar w:fldCharType="separate"/>
                          </w:r>
                          <w:r>
                            <w:rPr>
                              <w:rFonts w:hint="eastAsia" w:ascii="新宋体" w:hAnsi="新宋体" w:eastAsia="新宋体" w:cs="新宋体"/>
                              <w:sz w:val="24"/>
                              <w:szCs w:val="24"/>
                            </w:rPr>
                            <w:t>14</w:t>
                          </w:r>
                          <w:r>
                            <w:rPr>
                              <w:rFonts w:hint="eastAsia" w:ascii="新宋体" w:hAnsi="新宋体" w:eastAsia="新宋体" w:cs="新宋体"/>
                              <w:sz w:val="24"/>
                              <w:szCs w:val="24"/>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4"/>
                    </w:pPr>
                    <w:r>
                      <w:rPr>
                        <w:rFonts w:hint="eastAsia" w:ascii="新宋体" w:hAnsi="新宋体" w:eastAsia="新宋体" w:cs="新宋体"/>
                        <w:sz w:val="24"/>
                        <w:szCs w:val="24"/>
                      </w:rPr>
                      <w:fldChar w:fldCharType="begin"/>
                    </w:r>
                    <w:r>
                      <w:rPr>
                        <w:rFonts w:hint="eastAsia" w:ascii="新宋体" w:hAnsi="新宋体" w:eastAsia="新宋体" w:cs="新宋体"/>
                        <w:sz w:val="24"/>
                        <w:szCs w:val="24"/>
                      </w:rPr>
                      <w:instrText xml:space="preserve"> PAGE  \* MERGEFORMAT </w:instrText>
                    </w:r>
                    <w:r>
                      <w:rPr>
                        <w:rFonts w:hint="eastAsia" w:ascii="新宋体" w:hAnsi="新宋体" w:eastAsia="新宋体" w:cs="新宋体"/>
                        <w:sz w:val="24"/>
                        <w:szCs w:val="24"/>
                      </w:rPr>
                      <w:fldChar w:fldCharType="separate"/>
                    </w:r>
                    <w:r>
                      <w:rPr>
                        <w:rFonts w:hint="eastAsia" w:ascii="新宋体" w:hAnsi="新宋体" w:eastAsia="新宋体" w:cs="新宋体"/>
                        <w:sz w:val="24"/>
                        <w:szCs w:val="24"/>
                      </w:rPr>
                      <w:t>14</w:t>
                    </w:r>
                    <w:r>
                      <w:rPr>
                        <w:rFonts w:hint="eastAsia" w:ascii="新宋体" w:hAnsi="新宋体" w:eastAsia="新宋体" w:cs="新宋体"/>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820AB8"/>
    <w:rsid w:val="020D5D15"/>
    <w:rsid w:val="0257771D"/>
    <w:rsid w:val="03987BFB"/>
    <w:rsid w:val="058442AE"/>
    <w:rsid w:val="05A45DF1"/>
    <w:rsid w:val="05E565C5"/>
    <w:rsid w:val="06CE2604"/>
    <w:rsid w:val="0998778C"/>
    <w:rsid w:val="0F296ED6"/>
    <w:rsid w:val="11426A31"/>
    <w:rsid w:val="1256652B"/>
    <w:rsid w:val="12EF0AA7"/>
    <w:rsid w:val="12F274C7"/>
    <w:rsid w:val="133C76FB"/>
    <w:rsid w:val="146C6547"/>
    <w:rsid w:val="183F222E"/>
    <w:rsid w:val="198B0FEE"/>
    <w:rsid w:val="1991373A"/>
    <w:rsid w:val="19A14243"/>
    <w:rsid w:val="1A6522F4"/>
    <w:rsid w:val="1B2C1FD9"/>
    <w:rsid w:val="1C4B6240"/>
    <w:rsid w:val="1C901919"/>
    <w:rsid w:val="1CFE0661"/>
    <w:rsid w:val="1D35577C"/>
    <w:rsid w:val="2152442C"/>
    <w:rsid w:val="21820AB8"/>
    <w:rsid w:val="23944326"/>
    <w:rsid w:val="24982636"/>
    <w:rsid w:val="24FB4256"/>
    <w:rsid w:val="252E5D6D"/>
    <w:rsid w:val="25455921"/>
    <w:rsid w:val="2581571E"/>
    <w:rsid w:val="296E73F2"/>
    <w:rsid w:val="2D1C4834"/>
    <w:rsid w:val="2F7C1892"/>
    <w:rsid w:val="2FAD5A30"/>
    <w:rsid w:val="30772837"/>
    <w:rsid w:val="308B2707"/>
    <w:rsid w:val="30D8131D"/>
    <w:rsid w:val="31C37D95"/>
    <w:rsid w:val="34083D1C"/>
    <w:rsid w:val="35962709"/>
    <w:rsid w:val="37454701"/>
    <w:rsid w:val="3AC81FE2"/>
    <w:rsid w:val="3C1507AB"/>
    <w:rsid w:val="3EE80FE8"/>
    <w:rsid w:val="418341D4"/>
    <w:rsid w:val="432A4176"/>
    <w:rsid w:val="44225326"/>
    <w:rsid w:val="46184BCD"/>
    <w:rsid w:val="486471E4"/>
    <w:rsid w:val="49093F3C"/>
    <w:rsid w:val="4E9C1533"/>
    <w:rsid w:val="4F593F8F"/>
    <w:rsid w:val="507F6B64"/>
    <w:rsid w:val="51D17969"/>
    <w:rsid w:val="52A627FD"/>
    <w:rsid w:val="539A4128"/>
    <w:rsid w:val="541F7CA5"/>
    <w:rsid w:val="58D65697"/>
    <w:rsid w:val="5A086D26"/>
    <w:rsid w:val="5ABB43D1"/>
    <w:rsid w:val="5B5A47B7"/>
    <w:rsid w:val="5BD1454A"/>
    <w:rsid w:val="5C6D3A28"/>
    <w:rsid w:val="5CB5102D"/>
    <w:rsid w:val="5D9B0FDD"/>
    <w:rsid w:val="5DD951B3"/>
    <w:rsid w:val="5F642333"/>
    <w:rsid w:val="69F7102D"/>
    <w:rsid w:val="6A8E33BF"/>
    <w:rsid w:val="6BAF07D0"/>
    <w:rsid w:val="6BB01618"/>
    <w:rsid w:val="6D144675"/>
    <w:rsid w:val="6E466141"/>
    <w:rsid w:val="6E6D725E"/>
    <w:rsid w:val="735656F7"/>
    <w:rsid w:val="73DD4DB5"/>
    <w:rsid w:val="77300C87"/>
    <w:rsid w:val="79F64B91"/>
    <w:rsid w:val="7F6F3CAE"/>
    <w:rsid w:val="7FFFDBEC"/>
    <w:rsid w:val="F1EFC6DD"/>
    <w:rsid w:val="F67F7F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2">
    <w:name w:val="heading 3"/>
    <w:basedOn w:val="1"/>
    <w:next w:val="1"/>
    <w:unhideWhenUsed/>
    <w:qFormat/>
    <w:uiPriority w:val="0"/>
    <w:pPr>
      <w:spacing w:before="100" w:beforeAutospacing="1" w:after="10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pPr>
      <w:spacing w:line="660" w:lineRule="exact"/>
      <w:ind w:firstLine="705"/>
    </w:pPr>
    <w:rPr>
      <w:rFonts w:ascii="仿宋_GB2312" w:eastAsia="仿宋_GB2312"/>
      <w:color w:val="000000"/>
      <w:sz w:val="36"/>
      <w:szCs w:val="36"/>
    </w:rPr>
  </w:style>
  <w:style w:type="paragraph" w:styleId="7">
    <w:name w:val="Normal (Web)"/>
    <w:basedOn w:val="1"/>
    <w:qFormat/>
    <w:uiPriority w:val="0"/>
    <w:pPr>
      <w:spacing w:beforeAutospacing="1" w:afterAutospacing="1"/>
      <w:jc w:val="left"/>
    </w:pPr>
    <w:rPr>
      <w:rFonts w:cs="Times New Roman"/>
      <w:kern w:val="0"/>
      <w:sz w:val="24"/>
    </w:rPr>
  </w:style>
  <w:style w:type="character" w:styleId="10">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chart" Target="charts/chart3.xml"/><Relationship Id="rId12" Type="http://schemas.openxmlformats.org/officeDocument/2006/relationships/image" Target="media/image5.png"/><Relationship Id="rId11" Type="http://schemas.openxmlformats.org/officeDocument/2006/relationships/chart" Target="charts/chart2.xml"/><Relationship Id="rId10" Type="http://schemas.openxmlformats.org/officeDocument/2006/relationships/image" Target="media/image4.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5" Type="http://schemas.microsoft.com/office/2011/relationships/chartColorStyle" Target="colors1.xml"/><Relationship Id="rId4" Type="http://schemas.microsoft.com/office/2011/relationships/chartStyle" Target="style1.xml"/><Relationship Id="rId3" Type="http://schemas.openxmlformats.org/officeDocument/2006/relationships/image" Target="../media/image9.png"/><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9" Type="http://schemas.microsoft.com/office/2011/relationships/chartColorStyle" Target="colors2.xml"/><Relationship Id="rId8" Type="http://schemas.microsoft.com/office/2011/relationships/chartStyle" Target="style2.xml"/><Relationship Id="rId7" Type="http://schemas.openxmlformats.org/officeDocument/2006/relationships/image" Target="../media/image14.png"/><Relationship Id="rId6" Type="http://schemas.openxmlformats.org/officeDocument/2006/relationships/image" Target="../media/image13.png"/><Relationship Id="rId5" Type="http://schemas.openxmlformats.org/officeDocument/2006/relationships/image" Target="../media/image12.png"/><Relationship Id="rId4" Type="http://schemas.openxmlformats.org/officeDocument/2006/relationships/image" Target="../media/image11.png"/><Relationship Id="rId3" Type="http://schemas.openxmlformats.org/officeDocument/2006/relationships/image" Target="../media/image10.png"/><Relationship Id="rId2" Type="http://schemas.openxmlformats.org/officeDocument/2006/relationships/themeOverride" Target="../theme/themeOverrid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9" Type="http://schemas.openxmlformats.org/officeDocument/2006/relationships/image" Target="../media/image21.png"/><Relationship Id="rId8" Type="http://schemas.openxmlformats.org/officeDocument/2006/relationships/image" Target="../media/image20.png"/><Relationship Id="rId7" Type="http://schemas.openxmlformats.org/officeDocument/2006/relationships/image" Target="../media/image19.png"/><Relationship Id="rId6" Type="http://schemas.openxmlformats.org/officeDocument/2006/relationships/image" Target="../media/image18.png"/><Relationship Id="rId5" Type="http://schemas.openxmlformats.org/officeDocument/2006/relationships/image" Target="../media/image17.png"/><Relationship Id="rId4" Type="http://schemas.openxmlformats.org/officeDocument/2006/relationships/image" Target="../media/image16.png"/><Relationship Id="rId3" Type="http://schemas.openxmlformats.org/officeDocument/2006/relationships/image" Target="../media/image15.png"/><Relationship Id="rId2" Type="http://schemas.openxmlformats.org/officeDocument/2006/relationships/themeOverride" Target="../theme/themeOverride3.xml"/><Relationship Id="rId12" Type="http://schemas.microsoft.com/office/2011/relationships/chartColorStyle" Target="colors3.xml"/><Relationship Id="rId11" Type="http://schemas.microsoft.com/office/2011/relationships/chartStyle" Target="style3.xml"/><Relationship Id="rId10" Type="http://schemas.openxmlformats.org/officeDocument/2006/relationships/image" Target="../media/image22.jpeg"/><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manualLayout>
          <c:layoutTarget val="inner"/>
          <c:xMode val="edge"/>
          <c:yMode val="edge"/>
          <c:x val="0.044875"/>
          <c:y val="0.0748333333333333"/>
          <c:w val="0.62725"/>
          <c:h val="0.836333333333333"/>
        </c:manualLayout>
      </c:layout>
      <c:pieChart>
        <c:varyColors val="true"/>
        <c:ser>
          <c:idx val="0"/>
          <c:order val="0"/>
          <c:spPr/>
          <c:explosion val="0"/>
          <c:dPt>
            <c:idx val="0"/>
            <c:bubble3D val="false"/>
            <c:spPr>
              <a:solidFill>
                <a:srgbClr val="F7908D"/>
              </a:solidFill>
              <a:ln w="19050">
                <a:solidFill>
                  <a:schemeClr val="lt1"/>
                </a:solidFill>
              </a:ln>
              <a:effectLst/>
            </c:spPr>
          </c:dPt>
          <c:dPt>
            <c:idx val="1"/>
            <c:bubble3D val="false"/>
            <c:spPr>
              <a:solidFill>
                <a:srgbClr val="C4748B"/>
              </a:solidFill>
              <a:ln w="19050">
                <a:solidFill>
                  <a:schemeClr val="lt1"/>
                </a:solidFill>
              </a:ln>
              <a:effectLst/>
            </c:spPr>
          </c:dPt>
          <c:dPt>
            <c:idx val="2"/>
            <c:bubble3D val="false"/>
            <c:spPr>
              <a:solidFill>
                <a:srgbClr val="FAB772"/>
              </a:solidFill>
              <a:ln w="19050">
                <a:solidFill>
                  <a:schemeClr val="lt1"/>
                </a:solidFill>
              </a:ln>
              <a:effectLst/>
            </c:spPr>
          </c:dPt>
          <c:dPt>
            <c:idx val="3"/>
            <c:bubble3D val="false"/>
            <c:spPr>
              <a:solidFill>
                <a:schemeClr val="accent4"/>
              </a:solidFill>
              <a:ln w="19050">
                <a:solidFill>
                  <a:schemeClr val="lt1"/>
                </a:solidFill>
              </a:ln>
              <a:effectLst/>
            </c:spPr>
          </c:dPt>
          <c:dPt>
            <c:idx val="4"/>
            <c:bubble3D val="false"/>
            <c:spPr>
              <a:solidFill>
                <a:schemeClr val="accent5"/>
              </a:solidFill>
              <a:ln w="19050">
                <a:solidFill>
                  <a:schemeClr val="lt1"/>
                </a:solidFill>
              </a:ln>
              <a:effectLst/>
            </c:spPr>
          </c:dPt>
          <c:dPt>
            <c:idx val="5"/>
            <c:bubble3D val="false"/>
            <c:spPr>
              <a:solidFill>
                <a:schemeClr val="accent6"/>
              </a:solidFill>
              <a:ln w="19050">
                <a:solidFill>
                  <a:schemeClr val="lt1"/>
                </a:solidFill>
              </a:ln>
              <a:effectLst/>
            </c:spPr>
          </c:dPt>
          <c:dPt>
            <c:idx val="6"/>
            <c:bubble3D val="false"/>
            <c:spPr>
              <a:solidFill>
                <a:schemeClr val="accent1">
                  <a:lumMod val="60000"/>
                </a:schemeClr>
              </a:solidFill>
              <a:ln w="19050">
                <a:solidFill>
                  <a:schemeClr val="lt1"/>
                </a:solidFill>
              </a:ln>
              <a:effectLst/>
            </c:spPr>
          </c:dPt>
          <c:dPt>
            <c:idx val="7"/>
            <c:bubble3D val="false"/>
            <c:spPr>
              <a:solidFill>
                <a:schemeClr val="accent2">
                  <a:lumMod val="60000"/>
                </a:schemeClr>
              </a:solidFill>
              <a:ln w="19050">
                <a:solidFill>
                  <a:schemeClr val="lt1"/>
                </a:solidFill>
              </a:ln>
              <a:effectLst/>
            </c:spPr>
          </c:dPt>
          <c:dPt>
            <c:idx val="8"/>
            <c:bubble3D val="false"/>
            <c:spPr>
              <a:solidFill>
                <a:schemeClr val="accent3">
                  <a:lumMod val="60000"/>
                </a:schemeClr>
              </a:solidFill>
              <a:ln w="19050">
                <a:solidFill>
                  <a:schemeClr val="lt1"/>
                </a:solidFill>
              </a:ln>
              <a:effectLst/>
            </c:spPr>
          </c:dPt>
          <c:dPt>
            <c:idx val="9"/>
            <c:bubble3D val="false"/>
            <c:spPr>
              <a:solidFill>
                <a:schemeClr val="accent4">
                  <a:lumMod val="60000"/>
                </a:schemeClr>
              </a:solidFill>
              <a:ln w="19050">
                <a:solidFill>
                  <a:schemeClr val="lt1"/>
                </a:solidFill>
              </a:ln>
              <a:effectLst/>
            </c:spPr>
          </c:dPt>
          <c:dPt>
            <c:idx val="10"/>
            <c:bubble3D val="false"/>
            <c:spPr>
              <a:solidFill>
                <a:schemeClr val="accent5">
                  <a:lumMod val="60000"/>
                </a:schemeClr>
              </a:solidFill>
              <a:ln w="19050">
                <a:solidFill>
                  <a:schemeClr val="lt1"/>
                </a:solidFill>
              </a:ln>
              <a:effectLst/>
            </c:spPr>
          </c:dPt>
          <c:dPt>
            <c:idx val="11"/>
            <c:bubble3D val="false"/>
            <c:spPr>
              <a:solidFill>
                <a:schemeClr val="accent6">
                  <a:lumMod val="60000"/>
                </a:schemeClr>
              </a:solidFill>
              <a:ln w="19050">
                <a:solidFill>
                  <a:schemeClr val="lt1"/>
                </a:solidFill>
              </a:ln>
              <a:effectLst/>
            </c:spPr>
          </c:dPt>
          <c:dPt>
            <c:idx val="12"/>
            <c:bubble3D val="false"/>
            <c:spPr>
              <a:solidFill>
                <a:schemeClr val="accent1">
                  <a:lumMod val="80000"/>
                  <a:lumOff val="20000"/>
                </a:schemeClr>
              </a:solidFill>
              <a:ln w="19050">
                <a:solidFill>
                  <a:schemeClr val="lt1"/>
                </a:solidFill>
              </a:ln>
              <a:effectLst/>
            </c:spPr>
          </c:dPt>
          <c:dPt>
            <c:idx val="13"/>
            <c:bubble3D val="false"/>
            <c:spPr>
              <a:solidFill>
                <a:schemeClr val="accent2">
                  <a:lumMod val="80000"/>
                  <a:lumOff val="20000"/>
                </a:schemeClr>
              </a:solidFill>
              <a:ln w="19050">
                <a:solidFill>
                  <a:schemeClr val="lt1"/>
                </a:solidFill>
              </a:ln>
              <a:effectLst/>
            </c:spPr>
          </c:dPt>
          <c:dPt>
            <c:idx val="14"/>
            <c:bubble3D val="false"/>
            <c:spPr>
              <a:solidFill>
                <a:schemeClr val="accent3">
                  <a:lumMod val="80000"/>
                  <a:lumOff val="20000"/>
                </a:schemeClr>
              </a:solidFill>
              <a:ln w="19050">
                <a:solidFill>
                  <a:schemeClr val="lt1"/>
                </a:solidFill>
              </a:ln>
              <a:effectLst/>
            </c:spPr>
          </c:dPt>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dLblPos val="inEnd"/>
            <c:showLegendKey val="false"/>
            <c:showVal val="false"/>
            <c:showCatName val="fals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Sheet1!$A$2:$A$16</c:f>
              <c:strCache>
                <c:ptCount val="15"/>
                <c:pt idx="0">
                  <c:v>机构职能</c:v>
                </c:pt>
                <c:pt idx="1">
                  <c:v>通知公告</c:v>
                </c:pt>
                <c:pt idx="2">
                  <c:v>重大决策预公开</c:v>
                </c:pt>
                <c:pt idx="3">
                  <c:v>政策文件</c:v>
                </c:pt>
                <c:pt idx="4">
                  <c:v>政策解读</c:v>
                </c:pt>
                <c:pt idx="5">
                  <c:v>政府开放日活动</c:v>
                </c:pt>
                <c:pt idx="6">
                  <c:v>政务公开专区专栏</c:v>
                </c:pt>
                <c:pt idx="7">
                  <c:v>历史规划</c:v>
                </c:pt>
                <c:pt idx="8">
                  <c:v>人事任免</c:v>
                </c:pt>
                <c:pt idx="9">
                  <c:v>财政信息</c:v>
                </c:pt>
                <c:pt idx="10">
                  <c:v>建议提案办理总体情况</c:v>
                </c:pt>
                <c:pt idx="11">
                  <c:v>各领域目录</c:v>
                </c:pt>
                <c:pt idx="12">
                  <c:v>组织管理</c:v>
                </c:pt>
                <c:pt idx="13">
                  <c:v>会议公开及解读</c:v>
                </c:pt>
                <c:pt idx="14">
                  <c:v>政府公报信息</c:v>
                </c:pt>
              </c:strCache>
            </c:strRef>
          </c:cat>
          <c:val>
            <c:numRef>
              <c:f>Sheet1!$B$2:$B$16</c:f>
              <c:numCache>
                <c:formatCode>General</c:formatCode>
                <c:ptCount val="15"/>
                <c:pt idx="0">
                  <c:v>2</c:v>
                </c:pt>
                <c:pt idx="1">
                  <c:v>6</c:v>
                </c:pt>
                <c:pt idx="2">
                  <c:v>9</c:v>
                </c:pt>
                <c:pt idx="3">
                  <c:v>46</c:v>
                </c:pt>
                <c:pt idx="4">
                  <c:v>86</c:v>
                </c:pt>
                <c:pt idx="5">
                  <c:v>32</c:v>
                </c:pt>
                <c:pt idx="6">
                  <c:v>39</c:v>
                </c:pt>
                <c:pt idx="7">
                  <c:v>5</c:v>
                </c:pt>
                <c:pt idx="8">
                  <c:v>18</c:v>
                </c:pt>
                <c:pt idx="9">
                  <c:v>5</c:v>
                </c:pt>
                <c:pt idx="10">
                  <c:v>2</c:v>
                </c:pt>
                <c:pt idx="11">
                  <c:v>8</c:v>
                </c:pt>
                <c:pt idx="12">
                  <c:v>34</c:v>
                </c:pt>
                <c:pt idx="13">
                  <c:v>115</c:v>
                </c:pt>
                <c:pt idx="14">
                  <c:v>71</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r"/>
      <c:legendEntry>
        <c:idx val="0"/>
        <c:txPr>
          <a:bodyPr rot="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legendEntry>
      <c:legendEntry>
        <c:idx val="1"/>
        <c:txPr>
          <a:bodyPr rot="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legendEntry>
      <c:legendEntry>
        <c:idx val="2"/>
        <c:txPr>
          <a:bodyPr rot="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legendEntry>
      <c:layout>
        <c:manualLayout>
          <c:xMode val="edge"/>
          <c:yMode val="edge"/>
          <c:x val="0.68575"/>
          <c:y val="0.105666666666667"/>
          <c:w val="0.260125"/>
          <c:h val="0.758166666666667"/>
        </c:manualLayout>
      </c:layout>
      <c:overlay val="false"/>
      <c:spPr>
        <a:noFill/>
        <a:ln>
          <a:noFill/>
        </a:ln>
        <a:effectLst/>
      </c:spPr>
      <c:txPr>
        <a:bodyPr rot="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legend>
    <c:plotVisOnly val="true"/>
    <c:dispBlanksAs val="gap"/>
    <c:showDLblsOverMax val="false"/>
  </c:chart>
  <c:spPr>
    <a:blipFill rotWithShape="true">
      <a:blip xmlns:r="http://schemas.openxmlformats.org/officeDocument/2006/relationships" r:embed="rId3"/>
      <a:stretch>
        <a:fillRect/>
      </a:stretch>
    </a:blipFill>
    <a:ln w="9525" cap="flat" cmpd="sng" algn="ctr">
      <a:noFill/>
      <a:round/>
    </a:ln>
    <a:effectLst/>
  </c:spPr>
  <c:txPr>
    <a:bodyPr/>
    <a:lstStyle/>
    <a:p>
      <a:pPr>
        <a:defRPr lang="zh-CN">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manualLayout>
          <c:layoutTarget val="inner"/>
          <c:xMode val="edge"/>
          <c:yMode val="edge"/>
          <c:x val="0.035985985985986"/>
          <c:y val="0.00446428571428571"/>
          <c:w val="0.912712712712713"/>
          <c:h val="0.864880952380952"/>
        </c:manualLayout>
      </c:layout>
      <c:barChart>
        <c:barDir val="col"/>
        <c:grouping val="clustered"/>
        <c:varyColors val="false"/>
        <c:ser>
          <c:idx val="0"/>
          <c:order val="0"/>
          <c:tx>
            <c:strRef>
              <c:f>Sheet1!$B$1</c:f>
              <c:strCache>
                <c:ptCount val="1"/>
                <c:pt idx="0">
                  <c:v>文字解读</c:v>
                </c:pt>
              </c:strCache>
            </c:strRef>
          </c:tx>
          <c:spPr>
            <a:blipFill>
              <a:blip xmlns:r="http://schemas.openxmlformats.org/officeDocument/2006/relationships" r:embed="rId3"/>
              <a:stretch>
                <a:fillRect/>
              </a:stretch>
            </a:blipFill>
            <a:ln>
              <a:noFill/>
            </a:ln>
            <a:effectLst/>
          </c:spPr>
          <c:invertIfNegative val="false"/>
          <c:dPt>
            <c:idx val="0"/>
            <c:invertIfNegative val="false"/>
            <c:bubble3D val="false"/>
            <c:spPr>
              <a:blipFill>
                <a:blip xmlns:r="http://schemas.openxmlformats.org/officeDocument/2006/relationships" r:embed="rId3"/>
                <a:stretch>
                  <a:fillRect/>
                </a:stretch>
              </a:blipFill>
              <a:ln>
                <a:noFill/>
              </a:ln>
              <a:effectLst/>
            </c:spPr>
          </c:dPt>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bg1">
                        <a:lumMod val="50000"/>
                      </a:schemeClr>
                    </a:solidFill>
                    <a:latin typeface="微软雅黑" panose="020B0503020204020204" charset="-122"/>
                    <a:ea typeface="微软雅黑" panose="020B0503020204020204" charset="-122"/>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Sheet1!$B$2</c:f>
              <c:numCache>
                <c:formatCode>General</c:formatCode>
                <c:ptCount val="1"/>
                <c:pt idx="0">
                  <c:v>38</c:v>
                </c:pt>
              </c:numCache>
            </c:numRef>
          </c:val>
        </c:ser>
        <c:ser>
          <c:idx val="1"/>
          <c:order val="1"/>
          <c:tx>
            <c:strRef>
              <c:f>Sheet1!$C$1</c:f>
              <c:strCache>
                <c:ptCount val="1"/>
                <c:pt idx="0">
                  <c:v>主要负责人解读</c:v>
                </c:pt>
              </c:strCache>
            </c:strRef>
          </c:tx>
          <c:spPr>
            <a:blipFill>
              <a:blip xmlns:r="http://schemas.openxmlformats.org/officeDocument/2006/relationships" r:embed="rId4"/>
              <a:stretch>
                <a:fillRect/>
              </a:stretch>
            </a:blipFill>
            <a:ln>
              <a:noFill/>
            </a:ln>
            <a:effectLst/>
          </c:spPr>
          <c:invertIfNegative val="false"/>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bg1">
                        <a:lumMod val="50000"/>
                      </a:schemeClr>
                    </a:solidFill>
                    <a:latin typeface="微软雅黑" panose="020B0503020204020204" charset="-122"/>
                    <a:ea typeface="微软雅黑" panose="020B0503020204020204" charset="-122"/>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Sheet1!$C$2</c:f>
              <c:numCache>
                <c:formatCode>General</c:formatCode>
                <c:ptCount val="1"/>
                <c:pt idx="0">
                  <c:v>9</c:v>
                </c:pt>
              </c:numCache>
            </c:numRef>
          </c:val>
        </c:ser>
        <c:ser>
          <c:idx val="2"/>
          <c:order val="2"/>
          <c:tx>
            <c:strRef>
              <c:f>Sheet1!$F$1</c:f>
              <c:strCache>
                <c:ptCount val="1"/>
                <c:pt idx="0">
                  <c:v>图文解读</c:v>
                </c:pt>
              </c:strCache>
            </c:strRef>
          </c:tx>
          <c:spPr>
            <a:blipFill>
              <a:blip xmlns:r="http://schemas.openxmlformats.org/officeDocument/2006/relationships" r:embed="rId5"/>
              <a:stretch>
                <a:fillRect/>
              </a:stretch>
            </a:blipFill>
            <a:ln>
              <a:noFill/>
            </a:ln>
            <a:effectLst/>
          </c:spPr>
          <c:invertIfNegative val="false"/>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bg1">
                        <a:lumMod val="50000"/>
                      </a:schemeClr>
                    </a:solidFill>
                    <a:latin typeface="微软雅黑" panose="020B0503020204020204" charset="-122"/>
                    <a:ea typeface="微软雅黑" panose="020B0503020204020204" charset="-122"/>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Sheet1!$F$2</c:f>
              <c:numCache>
                <c:formatCode>General</c:formatCode>
                <c:ptCount val="1"/>
                <c:pt idx="0">
                  <c:v>19</c:v>
                </c:pt>
              </c:numCache>
            </c:numRef>
          </c:val>
        </c:ser>
        <c:ser>
          <c:idx val="3"/>
          <c:order val="3"/>
          <c:tx>
            <c:strRef>
              <c:f>Sheet1!$E$1</c:f>
              <c:strCache>
                <c:ptCount val="1"/>
                <c:pt idx="0">
                  <c:v>简明问答</c:v>
                </c:pt>
              </c:strCache>
            </c:strRef>
          </c:tx>
          <c:spPr>
            <a:blipFill>
              <a:blip xmlns:r="http://schemas.openxmlformats.org/officeDocument/2006/relationships" r:embed="rId6"/>
              <a:stretch>
                <a:fillRect/>
              </a:stretch>
            </a:blipFill>
            <a:ln>
              <a:noFill/>
            </a:ln>
            <a:effectLst/>
          </c:spPr>
          <c:invertIfNegative val="false"/>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bg1">
                        <a:lumMod val="50000"/>
                      </a:schemeClr>
                    </a:solidFill>
                    <a:latin typeface="微软雅黑" panose="020B0503020204020204" charset="-122"/>
                    <a:ea typeface="微软雅黑" panose="020B0503020204020204" charset="-122"/>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Sheet1!$E$2</c:f>
              <c:numCache>
                <c:formatCode>General</c:formatCode>
                <c:ptCount val="1"/>
                <c:pt idx="0">
                  <c:v>4</c:v>
                </c:pt>
              </c:numCache>
            </c:numRef>
          </c:val>
        </c:ser>
        <c:ser>
          <c:idx val="4"/>
          <c:order val="4"/>
          <c:tx>
            <c:strRef>
              <c:f>Sheet1!$G$1</c:f>
              <c:strCache>
                <c:ptCount val="1"/>
                <c:pt idx="0">
                  <c:v>音频解读</c:v>
                </c:pt>
              </c:strCache>
            </c:strRef>
          </c:tx>
          <c:spPr>
            <a:blipFill>
              <a:blip xmlns:r="http://schemas.openxmlformats.org/officeDocument/2006/relationships" r:embed="rId7"/>
              <a:stretch>
                <a:fillRect/>
              </a:stretch>
            </a:blipFill>
            <a:ln>
              <a:noFill/>
            </a:ln>
            <a:effectLst/>
          </c:spPr>
          <c:invertIfNegative val="false"/>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bg1">
                        <a:lumMod val="50000"/>
                      </a:schemeClr>
                    </a:solidFill>
                    <a:latin typeface="微软雅黑" panose="020B0503020204020204" charset="-122"/>
                    <a:ea typeface="微软雅黑" panose="020B0503020204020204" charset="-122"/>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Sheet1!$G$2</c:f>
              <c:numCache>
                <c:formatCode>General</c:formatCode>
                <c:ptCount val="1"/>
                <c:pt idx="0">
                  <c:v>6</c:v>
                </c:pt>
              </c:numCache>
            </c:numRef>
          </c:val>
        </c:ser>
        <c:ser>
          <c:idx val="5"/>
          <c:order val="5"/>
          <c:tx>
            <c:strRef>
              <c:f>Sheet1!$H$1</c:f>
              <c:strCache>
                <c:ptCount val="1"/>
                <c:pt idx="0">
                  <c:v>视频解读</c:v>
                </c:pt>
              </c:strCache>
            </c:strRef>
          </c:tx>
          <c:spPr>
            <a:solidFill>
              <a:schemeClr val="accent6"/>
            </a:solidFill>
            <a:ln>
              <a:noFill/>
            </a:ln>
            <a:effectLst/>
          </c:spPr>
          <c:invertIfNegative val="false"/>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bg1">
                        <a:lumMod val="50000"/>
                      </a:schemeClr>
                    </a:solidFill>
                    <a:latin typeface="微软雅黑" panose="020B0503020204020204" charset="-122"/>
                    <a:ea typeface="微软雅黑" panose="020B0503020204020204" charset="-122"/>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Sheet1!$H$2</c:f>
              <c:numCache>
                <c:formatCode>General</c:formatCode>
                <c:ptCount val="1"/>
                <c:pt idx="0">
                  <c:v>4</c:v>
                </c:pt>
              </c:numCache>
            </c:numRef>
          </c:val>
        </c:ser>
        <c:dLbls>
          <c:showLegendKey val="false"/>
          <c:showVal val="true"/>
          <c:showCatName val="false"/>
          <c:showSerName val="false"/>
          <c:showPercent val="false"/>
          <c:showBubbleSize val="false"/>
        </c:dLbls>
        <c:gapWidth val="75"/>
        <c:overlap val="0"/>
        <c:axId val="769531830"/>
        <c:axId val="485878842"/>
        <c:extLst>
          <c:ext xmlns:c15="http://schemas.microsoft.com/office/drawing/2012/chart" uri="{02D57815-91ED-43cb-92C2-25804820EDAC}">
            <c15:filteredBarSeries>
              <c15:ser>
                <c:idx val="6"/>
                <c:order val="6"/>
                <c:tx>
                  <c:strRef>
                    <c:extLst>
                      <c:ext uri="{02D57815-91ED-43cb-92C2-25804820EDAC}">
                        <c15:formulaRef>
                          <c15:sqref>Sheet1!#REF!</c15:sqref>
                        </c15:formulaRef>
                      </c:ext>
                    </c:extLst>
                    <c:strCache>
                      <c:ptCount val="1"/>
                      <c:pt idx="0">
                        <c:v/>
                      </c:pt>
                    </c:strCache>
                  </c:strRef>
                </c:tx>
                <c:spPr>
                  <a:solidFill>
                    <a:schemeClr val="accent1">
                      <a:lumMod val="60000"/>
                    </a:schemeClr>
                  </a:solidFill>
                  <a:ln>
                    <a:noFill/>
                  </a:ln>
                  <a:effectLst/>
                </c:spPr>
                <c:invertIfNegative val="false"/>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bg1">
                              <a:lumMod val="50000"/>
                            </a:schemeClr>
                          </a:solidFill>
                          <a:latin typeface="微软雅黑" panose="020B0503020204020204" charset="-122"/>
                          <a:ea typeface="微软雅黑" panose="020B0503020204020204" charset="-122"/>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c15:sqref>
                        </c15:formulaRef>
                      </c:ext>
                    </c:extLst>
                    <c:strCache>
                      <c:ptCount val="1"/>
                      <c:pt idx="0">
                        <c:v>类别 1</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15:filteredBarSeries>
              <c15:ser>
                <c:idx val="7"/>
                <c:order val="7"/>
                <c:tx>
                  <c:strRef>
                    <c:extLst>
                      <c:ext uri="{02D57815-91ED-43cb-92C2-25804820EDAC}">
                        <c15:formulaRef>
                          <c15:sqref>Sheet1!$I$1</c15:sqref>
                        </c15:formulaRef>
                      </c:ext>
                    </c:extLst>
                    <c:strCache>
                      <c:ptCount val="1"/>
                      <c:pt idx="0">
                        <c:v/>
                      </c:pt>
                    </c:strCache>
                  </c:strRef>
                </c:tx>
                <c:spPr>
                  <a:solidFill>
                    <a:schemeClr val="accent2">
                      <a:lumMod val="60000"/>
                    </a:schemeClr>
                  </a:solidFill>
                  <a:ln>
                    <a:noFill/>
                  </a:ln>
                  <a:effectLst/>
                </c:spPr>
                <c:invertIfNegative val="false"/>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bg1">
                              <a:lumMod val="50000"/>
                            </a:schemeClr>
                          </a:solidFill>
                          <a:latin typeface="微软雅黑" panose="020B0503020204020204" charset="-122"/>
                          <a:ea typeface="微软雅黑" panose="020B0503020204020204" charset="-122"/>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c15:sqref>
                        </c15:formulaRef>
                      </c:ext>
                    </c:extLst>
                    <c:strCache>
                      <c:ptCount val="1"/>
                      <c:pt idx="0">
                        <c:v>类别 1</c:v>
                      </c:pt>
                    </c:strCache>
                  </c:strRef>
                </c:cat>
                <c:val>
                  <c:numRef>
                    <c:extLst>
                      <c:ext uri="{02D57815-91ED-43cb-92C2-25804820EDAC}">
                        <c15:formulaRef>
                          <c15:sqref>Sheet1!$I$2</c15:sqref>
                        </c15:formulaRef>
                      </c:ext>
                    </c:extLst>
                    <c:numCache>
                      <c:formatCode>General</c:formatCode>
                      <c:ptCount val="1"/>
                    </c:numCache>
                  </c:numRef>
                </c:val>
              </c15:ser>
            </c15:filteredBarSeries>
          </c:ext>
        </c:extLst>
      </c:barChart>
      <c:catAx>
        <c:axId val="769531830"/>
        <c:scaling>
          <c:orientation val="minMax"/>
        </c:scaling>
        <c:delete val="true"/>
        <c:axPos val="b"/>
        <c:numFmt formatCode="General" sourceLinked="true"/>
        <c:majorTickMark val="none"/>
        <c:minorTickMark val="none"/>
        <c:tickLblPos val="nextTo"/>
        <c:txPr>
          <a:bodyPr rot="-60000000" spcFirstLastPara="0" vertOverflow="ellipsis" vert="horz" wrap="square" anchor="ctr" anchorCtr="true" forceAA="false"/>
          <a:lstStyle/>
          <a:p>
            <a:pPr>
              <a:defRPr lang="zh-CN" sz="900" b="0" i="0" u="none" strike="noStrike" kern="1200" baseline="0">
                <a:solidFill>
                  <a:schemeClr val="bg1">
                    <a:lumMod val="50000"/>
                  </a:schemeClr>
                </a:solidFill>
                <a:latin typeface="微软雅黑" panose="020B0503020204020204" charset="-122"/>
                <a:ea typeface="微软雅黑" panose="020B0503020204020204" charset="-122"/>
                <a:cs typeface="+mn-cs"/>
              </a:defRPr>
            </a:pPr>
          </a:p>
        </c:txPr>
        <c:crossAx val="485878842"/>
        <c:crosses val="autoZero"/>
        <c:auto val="true"/>
        <c:lblAlgn val="ctr"/>
        <c:lblOffset val="100"/>
        <c:noMultiLvlLbl val="false"/>
      </c:catAx>
      <c:valAx>
        <c:axId val="485878842"/>
        <c:scaling>
          <c:orientation val="minMax"/>
        </c:scaling>
        <c:delete val="false"/>
        <c:axPos val="l"/>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bg1">
                    <a:lumMod val="50000"/>
                  </a:schemeClr>
                </a:solidFill>
                <a:latin typeface="微软雅黑" panose="020B0503020204020204" charset="-122"/>
                <a:ea typeface="微软雅黑" panose="020B0503020204020204" charset="-122"/>
                <a:cs typeface="+mn-cs"/>
              </a:defRPr>
            </a:pPr>
          </a:p>
        </c:txPr>
        <c:crossAx val="769531830"/>
        <c:crosses val="autoZero"/>
        <c:crossBetween val="between"/>
      </c:valAx>
      <c:spPr>
        <a:solidFill>
          <a:schemeClr val="bg1"/>
        </a:solidFill>
        <a:ln>
          <a:noFill/>
        </a:ln>
        <a:effectLst/>
      </c:spPr>
    </c:plotArea>
    <c:legend>
      <c:legendPos val="b"/>
      <c:layout/>
      <c:overlay val="false"/>
      <c:spPr>
        <a:noFill/>
        <a:ln>
          <a:noFill/>
        </a:ln>
        <a:effectLst/>
      </c:spPr>
      <c:txPr>
        <a:bodyPr rot="0" spcFirstLastPara="0" vertOverflow="ellipsis" vert="horz" wrap="square" anchor="ctr" anchorCtr="true" forceAA="false"/>
        <a:lstStyle/>
        <a:p>
          <a:pPr>
            <a:defRPr lang="zh-CN" sz="900" b="0" i="0" u="none" strike="noStrike" kern="1200" baseline="0">
              <a:solidFill>
                <a:schemeClr val="bg1">
                  <a:lumMod val="50000"/>
                </a:schemeClr>
              </a:solidFill>
              <a:latin typeface="微软雅黑" panose="020B0503020204020204" charset="-122"/>
              <a:ea typeface="微软雅黑" panose="020B0503020204020204" charset="-122"/>
              <a:cs typeface="+mn-cs"/>
            </a:defRPr>
          </a:pPr>
        </a:p>
      </c:txPr>
    </c:legend>
    <c:plotVisOnly val="true"/>
    <c:dispBlanksAs val="gap"/>
    <c:showDLblsOverMax val="false"/>
  </c:chart>
  <c:spPr>
    <a:solidFill>
      <a:schemeClr val="bg1"/>
    </a:solidFill>
    <a:ln w="9525" cap="flat" cmpd="sng" algn="ctr">
      <a:solidFill>
        <a:schemeClr val="bg1">
          <a:lumMod val="95000"/>
        </a:schemeClr>
      </a:solidFill>
      <a:round/>
    </a:ln>
    <a:effectLst/>
  </c:spPr>
  <c:txPr>
    <a:bodyPr/>
    <a:lstStyle/>
    <a:p>
      <a:pPr>
        <a:defRPr lang="zh-CN">
          <a:solidFill>
            <a:schemeClr val="bg1">
              <a:lumMod val="50000"/>
            </a:schemeClr>
          </a:solidFill>
          <a:latin typeface="微软雅黑" panose="020B0503020204020204" charset="-122"/>
          <a:ea typeface="微软雅黑" panose="020B0503020204020204" charset="-122"/>
        </a:defRPr>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manualLayout>
          <c:layoutTarget val="inner"/>
          <c:xMode val="edge"/>
          <c:yMode val="edge"/>
          <c:x val="0.0538742597958927"/>
          <c:y val="0.0067842605156038"/>
          <c:w val="0.912107849313343"/>
          <c:h val="0.732112166440525"/>
        </c:manualLayout>
      </c:layout>
      <c:barChart>
        <c:barDir val="col"/>
        <c:grouping val="clustered"/>
        <c:varyColors val="false"/>
        <c:ser>
          <c:idx val="0"/>
          <c:order val="0"/>
          <c:spPr>
            <a:blipFill>
              <a:blip xmlns:r="http://schemas.openxmlformats.org/officeDocument/2006/relationships" r:embed="rId3"/>
              <a:stretch>
                <a:fillRect/>
              </a:stretch>
            </a:blipFill>
            <a:ln>
              <a:noFill/>
            </a:ln>
            <a:effectLst/>
          </c:spPr>
          <c:invertIfNegative val="false"/>
          <c:dPt>
            <c:idx val="0"/>
            <c:invertIfNegative val="false"/>
            <c:bubble3D val="false"/>
            <c:spPr>
              <a:blipFill>
                <a:blip xmlns:r="http://schemas.openxmlformats.org/officeDocument/2006/relationships" r:embed="rId4"/>
                <a:stretch>
                  <a:fillRect/>
                </a:stretch>
              </a:blipFill>
              <a:ln>
                <a:noFill/>
              </a:ln>
              <a:effectLst/>
            </c:spPr>
          </c:dPt>
          <c:dPt>
            <c:idx val="1"/>
            <c:invertIfNegative val="false"/>
            <c:bubble3D val="false"/>
            <c:spPr>
              <a:blipFill>
                <a:blip xmlns:r="http://schemas.openxmlformats.org/officeDocument/2006/relationships" r:embed="rId5"/>
                <a:stretch>
                  <a:fillRect/>
                </a:stretch>
              </a:blipFill>
              <a:ln>
                <a:noFill/>
              </a:ln>
              <a:effectLst/>
            </c:spPr>
          </c:dPt>
          <c:dPt>
            <c:idx val="2"/>
            <c:invertIfNegative val="false"/>
            <c:bubble3D val="false"/>
            <c:spPr>
              <a:blipFill>
                <a:blip xmlns:r="http://schemas.openxmlformats.org/officeDocument/2006/relationships" r:embed="rId6"/>
                <a:stretch>
                  <a:fillRect/>
                </a:stretch>
              </a:blipFill>
              <a:ln>
                <a:noFill/>
              </a:ln>
              <a:effectLst/>
            </c:spPr>
          </c:dPt>
          <c:dPt>
            <c:idx val="3"/>
            <c:invertIfNegative val="false"/>
            <c:bubble3D val="false"/>
            <c:spPr>
              <a:blipFill>
                <a:blip xmlns:r="http://schemas.openxmlformats.org/officeDocument/2006/relationships" r:embed="rId7"/>
                <a:stretch>
                  <a:fillRect/>
                </a:stretch>
              </a:blipFill>
              <a:ln>
                <a:noFill/>
              </a:ln>
              <a:effectLst/>
            </c:spPr>
          </c:dPt>
          <c:dPt>
            <c:idx val="4"/>
            <c:invertIfNegative val="false"/>
            <c:bubble3D val="false"/>
            <c:spPr>
              <a:blipFill>
                <a:blip xmlns:r="http://schemas.openxmlformats.org/officeDocument/2006/relationships" r:embed="rId8"/>
                <a:stretch>
                  <a:fillRect/>
                </a:stretch>
              </a:blipFill>
              <a:ln>
                <a:noFill/>
              </a:ln>
              <a:effectLst/>
            </c:spPr>
          </c:dPt>
          <c:dPt>
            <c:idx val="5"/>
            <c:invertIfNegative val="false"/>
            <c:bubble3D val="false"/>
            <c:spPr>
              <a:blipFill>
                <a:blip xmlns:r="http://schemas.openxmlformats.org/officeDocument/2006/relationships" r:embed="rId9"/>
                <a:stretch>
                  <a:fillRect/>
                </a:stretch>
              </a:blipFill>
              <a:ln>
                <a:noFill/>
              </a:ln>
              <a:effectLst/>
            </c:spPr>
          </c:dPt>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Sheet1!$B$1:$G$1</c:f>
              <c:strCache>
                <c:ptCount val="6"/>
                <c:pt idx="0">
                  <c:v>予以公开</c:v>
                </c:pt>
                <c:pt idx="1">
                  <c:v>部分公开</c:v>
                </c:pt>
                <c:pt idx="2">
                  <c:v>不予公开</c:v>
                </c:pt>
                <c:pt idx="3">
                  <c:v>无法提供</c:v>
                </c:pt>
                <c:pt idx="4">
                  <c:v>不予处理</c:v>
                </c:pt>
                <c:pt idx="5">
                  <c:v>其他处理</c:v>
                </c:pt>
              </c:strCache>
            </c:strRef>
          </c:cat>
          <c:val>
            <c:numRef>
              <c:f>Sheet1!$B$2:$G$2</c:f>
              <c:numCache>
                <c:formatCode>General</c:formatCode>
                <c:ptCount val="6"/>
                <c:pt idx="0">
                  <c:v>14</c:v>
                </c:pt>
                <c:pt idx="1">
                  <c:v>10</c:v>
                </c:pt>
                <c:pt idx="2">
                  <c:v>1</c:v>
                </c:pt>
                <c:pt idx="3">
                  <c:v>21</c:v>
                </c:pt>
                <c:pt idx="4">
                  <c:v>9</c:v>
                </c:pt>
                <c:pt idx="5">
                  <c:v>3</c:v>
                </c:pt>
              </c:numCache>
            </c:numRef>
          </c:val>
        </c:ser>
        <c:dLbls>
          <c:showLegendKey val="false"/>
          <c:showVal val="false"/>
          <c:showCatName val="false"/>
          <c:showSerName val="false"/>
          <c:showPercent val="false"/>
          <c:showBubbleSize val="false"/>
        </c:dLbls>
        <c:gapWidth val="75"/>
        <c:overlap val="0"/>
        <c:axId val="399346127"/>
        <c:axId val="258427516"/>
      </c:barChart>
      <c:catAx>
        <c:axId val="399346127"/>
        <c:scaling>
          <c:orientation val="minMax"/>
        </c:scaling>
        <c:delete val="false"/>
        <c:axPos val="b"/>
        <c:numFmt formatCode="General" sourceLinked="tru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mn-cs"/>
              </a:defRPr>
            </a:pPr>
          </a:p>
        </c:txPr>
        <c:crossAx val="258427516"/>
        <c:crosses val="autoZero"/>
        <c:auto val="true"/>
        <c:lblAlgn val="ctr"/>
        <c:lblOffset val="100"/>
        <c:noMultiLvlLbl val="false"/>
      </c:catAx>
      <c:valAx>
        <c:axId val="258427516"/>
        <c:scaling>
          <c:orientation val="minMax"/>
        </c:scaling>
        <c:delete val="false"/>
        <c:axPos val="l"/>
        <c:numFmt formatCode="General" sourceLinked="true"/>
        <c:majorTickMark val="none"/>
        <c:minorTickMark val="none"/>
        <c:tickLblPos val="nextTo"/>
        <c:spPr>
          <a:noFill/>
          <a:ln>
            <a:noFill/>
          </a:ln>
          <a:effectLst/>
        </c:spPr>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mn-cs"/>
              </a:defRPr>
            </a:pPr>
          </a:p>
        </c:txPr>
        <c:crossAx val="399346127"/>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mn-cs"/>
            </a:defRPr>
          </a:pPr>
        </a:p>
      </c:txPr>
    </c:legend>
    <c:plotVisOnly val="true"/>
    <c:dispBlanksAs val="gap"/>
    <c:showDLblsOverMax val="false"/>
  </c:chart>
  <c:spPr>
    <a:blipFill dpi="0" rotWithShape="true">
      <a:blip xmlns:r="http://schemas.openxmlformats.org/officeDocument/2006/relationships" r:embed="rId10">
        <a:extLst>
          <a:ext uri="{28A0092B-C50C-407E-A947-70E740481C1C}">
            <a14:useLocalDpi xmlns:a14="http://schemas.microsoft.com/office/drawing/2010/main" val="false"/>
          </a:ext>
        </a:extLst>
      </a:blip>
      <a:srcRect/>
      <a:stretch>
        <a:fillRect/>
      </a:stretch>
    </a:blipFill>
    <a:ln w="9525" cap="flat" cmpd="sng" algn="ctr">
      <a:solidFill>
        <a:schemeClr val="tx1">
          <a:lumMod val="15000"/>
          <a:lumOff val="85000"/>
        </a:schemeClr>
      </a:solidFill>
      <a:round/>
    </a:ln>
    <a:effectLst/>
  </c:spPr>
  <c:txPr>
    <a:bodyPr/>
    <a:lstStyle/>
    <a:p>
      <a:pPr>
        <a:defRPr lang="zh-CN">
          <a:latin typeface="微软雅黑" panose="020B0503020204020204" charset="-122"/>
          <a:ea typeface="微软雅黑" panose="020B0503020204020204" charset="-122"/>
        </a:defRPr>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3632</Words>
  <Characters>3810</Characters>
  <Lines>0</Lines>
  <Paragraphs>0</Paragraphs>
  <TotalTime>8</TotalTime>
  <ScaleCrop>false</ScaleCrop>
  <LinksUpToDate>false</LinksUpToDate>
  <CharactersWithSpaces>3838</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2020-02-10T11:04:00Z</dcterms:created>
  <dc:creator>刚罡</dc:creator>
  <cp:lastModifiedBy>zhangxx</cp:lastModifiedBy>
  <dcterms:modified xsi:type="dcterms:W3CDTF">2022-01-29T17:00:22Z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71A9CD1241C34BDC80BCDA3ECE8FC1A2</vt:lpwstr>
  </property>
</Properties>
</file>