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default" w:ascii="方正小标宋简体" w:hAnsi="宋体" w:eastAsia="方正小标宋简体" w:cs="宋体"/>
          <w:color w:val="000000"/>
          <w:kern w:val="0"/>
          <w:sz w:val="44"/>
          <w:szCs w:val="44"/>
          <w:lang w:val="en-US" w:eastAsia="zh-CN"/>
        </w:rPr>
      </w:pPr>
      <w:r>
        <w:rPr>
          <w:rFonts w:hint="eastAsia" w:ascii="方正小标宋简体" w:hAnsi="宋体" w:eastAsia="方正小标宋简体" w:cs="宋体"/>
          <w:color w:val="000000"/>
          <w:kern w:val="0"/>
          <w:sz w:val="44"/>
          <w:szCs w:val="44"/>
          <w:lang w:val="en-US" w:eastAsia="zh-CN"/>
        </w:rPr>
        <w:t>滕州市行政审批服务局</w:t>
      </w:r>
    </w:p>
    <w:p>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方正小标宋简体" w:hAnsi="宋体" w:eastAsia="方正小标宋简体" w:cs="宋体"/>
          <w:color w:val="000000"/>
          <w:kern w:val="0"/>
          <w:sz w:val="44"/>
          <w:szCs w:val="44"/>
        </w:rPr>
      </w:pPr>
      <w:r>
        <w:rPr>
          <w:rFonts w:hint="eastAsia" w:ascii="方正小标宋简体" w:hAnsi="宋体" w:eastAsia="方正小标宋简体" w:cs="宋体"/>
          <w:color w:val="000000"/>
          <w:kern w:val="0"/>
          <w:sz w:val="44"/>
          <w:szCs w:val="44"/>
        </w:rPr>
        <w:t>20</w:t>
      </w:r>
      <w:r>
        <w:rPr>
          <w:rFonts w:hint="eastAsia" w:ascii="方正小标宋简体" w:hAnsi="宋体" w:eastAsia="方正小标宋简体" w:cs="宋体"/>
          <w:color w:val="000000"/>
          <w:kern w:val="0"/>
          <w:sz w:val="44"/>
          <w:szCs w:val="44"/>
          <w:lang w:val="en-US" w:eastAsia="zh-CN"/>
        </w:rPr>
        <w:t>21</w:t>
      </w:r>
      <w:r>
        <w:rPr>
          <w:rFonts w:hint="eastAsia" w:ascii="方正小标宋简体" w:hAnsi="宋体" w:eastAsia="方正小标宋简体" w:cs="宋体"/>
          <w:color w:val="000000"/>
          <w:kern w:val="0"/>
          <w:sz w:val="44"/>
          <w:szCs w:val="44"/>
        </w:rPr>
        <w:t>年政府信息公开年度报告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本报告依据《中华人民共和国政府信息公开条例》要求及2021年度滕州市行政审批服务局及所属事业单位政府信息和政务公开工作情况编制。本报告中所列数据的统计期限自2021年1月1日至2021年12月31日。</w:t>
      </w:r>
    </w:p>
    <w:p>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ascii="黑体" w:hAnsi="黑体" w:eastAsia="黑体" w:cs="宋体"/>
          <w:color w:val="000000"/>
          <w:kern w:val="0"/>
          <w:sz w:val="32"/>
          <w:szCs w:val="32"/>
        </w:rPr>
      </w:pPr>
      <w:r>
        <w:rPr>
          <w:rFonts w:hint="eastAsia" w:ascii="黑体" w:hAnsi="黑体" w:eastAsia="黑体" w:cs="宋体"/>
          <w:color w:val="000000"/>
          <w:kern w:val="0"/>
          <w:sz w:val="32"/>
          <w:szCs w:val="32"/>
        </w:rPr>
        <w:t>一、总体情况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2021年市行政审批服务局高度重视信息公开工作，认真学习、贯彻、落实《中华人民共和国政府信息公开条例》(以下简称《条例》)规定和有关文件要求，结合工作实际，坚持公开为常态、不公开为例外，全面推进决策、执行、管理、服务、结果公开，以公开稳预期、强监督、促落实、优服务，不断加强公开力度，扩大公众参与，以公开促落实，以公开促规范，以公开促服务，助力保障和提升行政审批服务质量。</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（一）政府信息主动公开情况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通过不同载体主动公开信息1195条，其中政府网站公开政府信息974条，微信、微博公众平台公开政府信息221条。涵盖机构设置、政策法规、通知公告、公文法规、规划计划信息、建议和提案办理结果、行政许可等内容，不断加强公开力度，扩大公众参与，以公开促落实，以公开促规范，以公开促服务。</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（二）政府信息依申请公开情况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政府信息依申请公开渠道畅通，依法保障公民、法人和其他组织获取政府信息的权利。2021年，市行政审批服务局受理依申请公开13件次，全部按时限要求办结，其中非政府信息1件次，撤销3件次，补正通知1件次，予以公开5件次，部分公开答复0件次，不予公开0件次，无法提供3件次，不予处理0件次，转结下年度继续办理0件次。本年度无因政府信息公开申请提起行政复议、行政诉讼情况。</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（三）政府信息管理情况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形成“主要领导亲自抓、分管领导具体抓、机关处室合力抓、专人负责抓落实”的工作机制，依据局机构人员变化，动态调整滕州市行政审批服务局政务公开工作领导小组职责和组成人员。认真落实“决策、执行、管理、服务、结果公开”，将“五公开”纳入办文、办事和办会程序。动态扩展公开内容，结合群众关注的重点热点问题，定期对公开内容进行梳理。严格把关政府信息公开内容审查，市行政审批服务局2021年度无违反规定和失泄密情况。</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（四）政府信息平台建设情况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结合政务公开工作要点和《2020年山东省政务公开第三方评估指标体系》，加强网站内容建设，规范栏目设置，健全用户信息保护制度，强化信息搜索、办理服务功能，做好滕州市行政审批服务局网站、滕州市行政审批服务局微信公众号与滕州政务公开网联动推荐关系，做到多平台、多栏目、多渠道同步更新。</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（五）监督保障情况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做好网络建设工作，严格按照信息发布流程开展工作，研究制定公开考核、评议、责任追究和监督检查办法，参加市级信息公开培训，推进和规范政府信息公开工作。</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 w:hAnsi="楷体" w:eastAsia="楷体" w:cs="楷体"/>
          <w:b/>
          <w:bCs/>
          <w:sz w:val="32"/>
          <w:szCs w:val="32"/>
        </w:rPr>
      </w:pPr>
      <w:r>
        <w:rPr>
          <w:rFonts w:hint="default" w:ascii="楷体" w:hAnsi="楷体" w:eastAsia="楷体" w:cs="楷体"/>
          <w:b/>
          <w:bCs/>
          <w:sz w:val="32"/>
          <w:szCs w:val="32"/>
          <w:lang w:val="en-US" w:eastAsia="zh-CN"/>
        </w:rPr>
        <w:t>（</w:t>
      </w:r>
      <w:r>
        <w:rPr>
          <w:rFonts w:hint="eastAsia" w:ascii="楷体" w:hAnsi="楷体" w:eastAsia="楷体" w:cs="楷体"/>
          <w:b/>
          <w:bCs/>
          <w:sz w:val="32"/>
          <w:szCs w:val="32"/>
          <w:lang w:val="en-US" w:eastAsia="zh-CN"/>
        </w:rPr>
        <w:t>六</w:t>
      </w:r>
      <w:r>
        <w:rPr>
          <w:rFonts w:hint="default" w:ascii="楷体" w:hAnsi="楷体" w:eastAsia="楷体" w:cs="楷体"/>
          <w:b/>
          <w:bCs/>
          <w:sz w:val="32"/>
          <w:szCs w:val="32"/>
          <w:lang w:val="en-US" w:eastAsia="zh-CN"/>
        </w:rPr>
        <w:t>）其他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宋体"/>
          <w:color w:val="000000"/>
          <w:kern w:val="0"/>
          <w:sz w:val="32"/>
          <w:szCs w:val="32"/>
        </w:rPr>
      </w:pPr>
      <w:r>
        <w:rPr>
          <w:rFonts w:hint="default" w:ascii="仿宋_GB2312" w:hAnsi="仿宋_GB2312" w:eastAsia="仿宋_GB2312" w:cs="仿宋_GB2312"/>
          <w:sz w:val="32"/>
          <w:szCs w:val="32"/>
          <w:lang w:val="en-US" w:eastAsia="zh-CN"/>
        </w:rPr>
        <w:t>纳入滕州市部门绩效考核，未进行社会评议，未发生责任追究情况。</w:t>
      </w:r>
    </w:p>
    <w:p>
      <w:pPr>
        <w:keepNext w:val="0"/>
        <w:keepLines w:val="0"/>
        <w:pageBreakBefore w:val="0"/>
        <w:widowControl/>
        <w:numPr>
          <w:ilvl w:val="0"/>
          <w:numId w:val="1"/>
        </w:numPr>
        <w:kinsoku/>
        <w:wordWrap/>
        <w:overflowPunct/>
        <w:topLinePunct w:val="0"/>
        <w:autoSpaceDE/>
        <w:autoSpaceDN/>
        <w:bidi w:val="0"/>
        <w:adjustRightInd/>
        <w:snapToGrid/>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主动公开政府信息情况</w:t>
      </w:r>
    </w:p>
    <w:tbl>
      <w:tblPr>
        <w:tblStyle w:val="8"/>
        <w:tblW w:w="8824" w:type="dxa"/>
        <w:jc w:val="center"/>
        <w:tblLayout w:type="fixed"/>
        <w:tblCellMar>
          <w:top w:w="0" w:type="dxa"/>
          <w:left w:w="108" w:type="dxa"/>
          <w:bottom w:w="0" w:type="dxa"/>
          <w:right w:w="108" w:type="dxa"/>
        </w:tblCellMar>
      </w:tblPr>
      <w:tblGrid>
        <w:gridCol w:w="2206"/>
        <w:gridCol w:w="2206"/>
        <w:gridCol w:w="2206"/>
        <w:gridCol w:w="2206"/>
      </w:tblGrid>
      <w:tr>
        <w:tblPrEx>
          <w:tblCellMar>
            <w:top w:w="0" w:type="dxa"/>
            <w:left w:w="108" w:type="dxa"/>
            <w:bottom w:w="0" w:type="dxa"/>
            <w:right w:w="108" w:type="dxa"/>
          </w:tblCellMar>
        </w:tblPrEx>
        <w:trPr>
          <w:trHeight w:val="567" w:hRule="atLeast"/>
          <w:jc w:val="center"/>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第二十条第（一）项</w:t>
            </w:r>
          </w:p>
        </w:tc>
      </w:tr>
      <w:tr>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2206" w:type="dxa"/>
            <w:tcBorders>
              <w:top w:val="nil"/>
              <w:left w:val="nil"/>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本年制发件数</w:t>
            </w:r>
          </w:p>
        </w:tc>
        <w:tc>
          <w:tcPr>
            <w:tcW w:w="2206" w:type="dxa"/>
            <w:tcBorders>
              <w:top w:val="nil"/>
              <w:left w:val="nil"/>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本年废止件数</w:t>
            </w:r>
          </w:p>
        </w:tc>
        <w:tc>
          <w:tcPr>
            <w:tcW w:w="2206" w:type="dxa"/>
            <w:tcBorders>
              <w:top w:val="nil"/>
              <w:left w:val="nil"/>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现行有效件数</w:t>
            </w:r>
          </w:p>
        </w:tc>
      </w:tr>
      <w:tr>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规章</w:t>
            </w:r>
          </w:p>
        </w:tc>
        <w:tc>
          <w:tcPr>
            <w:tcW w:w="2206" w:type="dxa"/>
            <w:tcBorders>
              <w:top w:val="nil"/>
              <w:left w:val="nil"/>
              <w:bottom w:val="single" w:color="auto" w:sz="8" w:space="0"/>
              <w:right w:val="single" w:color="auto" w:sz="8" w:space="0"/>
            </w:tcBorders>
            <w:noWrap w:val="0"/>
            <w:vAlign w:val="center"/>
          </w:tcPr>
          <w:p>
            <w:pPr>
              <w:widowControl/>
              <w:jc w:val="left"/>
              <w:rPr>
                <w:rFonts w:hint="eastAsia" w:ascii="仿宋_GB2312" w:hAnsi="宋体" w:eastAsia="仿宋_GB2312" w:cs="宋体"/>
                <w:color w:val="000000"/>
                <w:kern w:val="0"/>
                <w:sz w:val="21"/>
                <w:szCs w:val="21"/>
                <w:lang w:val="en-US" w:eastAsia="zh-CN" w:bidi="ar-SA"/>
              </w:rPr>
            </w:pPr>
            <w:r>
              <w:rPr>
                <w:rFonts w:hint="eastAsia" w:ascii="仿宋_GB2312" w:hAnsi="宋体" w:eastAsia="仿宋_GB2312" w:cs="宋体"/>
                <w:color w:val="000000"/>
                <w:kern w:val="0"/>
                <w:szCs w:val="21"/>
              </w:rPr>
              <w:t>　　</w:t>
            </w:r>
            <w:r>
              <w:rPr>
                <w:rFonts w:hint="eastAsia" w:ascii="仿宋_GB2312" w:hAnsi="宋体" w:eastAsia="仿宋_GB2312" w:cs="宋体"/>
                <w:color w:val="000000"/>
                <w:kern w:val="0"/>
                <w:szCs w:val="21"/>
                <w:lang w:val="en-US" w:eastAsia="zh-CN"/>
              </w:rPr>
              <w:t>0</w:t>
            </w:r>
          </w:p>
        </w:tc>
        <w:tc>
          <w:tcPr>
            <w:tcW w:w="2206" w:type="dxa"/>
            <w:tcBorders>
              <w:top w:val="nil"/>
              <w:left w:val="nil"/>
              <w:bottom w:val="single" w:color="auto" w:sz="8" w:space="0"/>
              <w:right w:val="single" w:color="auto" w:sz="8" w:space="0"/>
            </w:tcBorders>
            <w:noWrap w:val="0"/>
            <w:vAlign w:val="center"/>
          </w:tcPr>
          <w:p>
            <w:pPr>
              <w:widowControl/>
              <w:jc w:val="left"/>
              <w:rPr>
                <w:rFonts w:hint="eastAsia" w:ascii="仿宋_GB2312" w:hAnsi="宋体" w:eastAsia="仿宋_GB2312" w:cs="宋体"/>
                <w:color w:val="000000"/>
                <w:kern w:val="0"/>
                <w:sz w:val="21"/>
                <w:szCs w:val="21"/>
                <w:lang w:val="en-US" w:eastAsia="zh-CN" w:bidi="ar-SA"/>
              </w:rPr>
            </w:pPr>
            <w:r>
              <w:rPr>
                <w:rFonts w:hint="eastAsia" w:ascii="仿宋_GB2312" w:hAnsi="宋体" w:eastAsia="仿宋_GB2312" w:cs="宋体"/>
                <w:color w:val="000000"/>
                <w:kern w:val="0"/>
                <w:szCs w:val="21"/>
              </w:rPr>
              <w:t> 　</w:t>
            </w:r>
            <w:r>
              <w:rPr>
                <w:rFonts w:hint="eastAsia" w:ascii="仿宋_GB2312" w:hAnsi="宋体" w:eastAsia="仿宋_GB2312" w:cs="宋体"/>
                <w:color w:val="000000"/>
                <w:kern w:val="0"/>
                <w:szCs w:val="21"/>
                <w:lang w:val="en-US" w:eastAsia="zh-CN"/>
              </w:rPr>
              <w:t>0</w:t>
            </w:r>
          </w:p>
        </w:tc>
        <w:tc>
          <w:tcPr>
            <w:tcW w:w="2206" w:type="dxa"/>
            <w:tcBorders>
              <w:top w:val="nil"/>
              <w:left w:val="nil"/>
              <w:bottom w:val="single" w:color="auto" w:sz="8" w:space="0"/>
              <w:right w:val="single" w:color="auto" w:sz="8" w:space="0"/>
            </w:tcBorders>
            <w:noWrap w:val="0"/>
            <w:vAlign w:val="center"/>
          </w:tcPr>
          <w:p>
            <w:pPr>
              <w:widowControl/>
              <w:jc w:val="left"/>
              <w:rPr>
                <w:rFonts w:hint="eastAsia" w:ascii="仿宋_GB2312" w:hAnsi="Calibri" w:eastAsia="仿宋_GB2312" w:cs="Calibri"/>
                <w:color w:val="000000"/>
                <w:kern w:val="0"/>
                <w:sz w:val="21"/>
                <w:szCs w:val="21"/>
                <w:lang w:val="en-US" w:eastAsia="zh-CN" w:bidi="ar-SA"/>
              </w:rPr>
            </w:pPr>
            <w:r>
              <w:rPr>
                <w:rFonts w:hint="eastAsia" w:ascii="仿宋_GB2312" w:hAnsi="Calibri" w:eastAsia="仿宋_GB2312" w:cs="Calibri"/>
                <w:color w:val="000000"/>
                <w:kern w:val="0"/>
                <w:szCs w:val="21"/>
              </w:rPr>
              <w:t>　</w:t>
            </w:r>
            <w:r>
              <w:rPr>
                <w:rFonts w:hint="eastAsia" w:ascii="仿宋_GB2312" w:hAnsi="Calibri" w:eastAsia="仿宋_GB2312" w:cs="Calibri"/>
                <w:color w:val="000000"/>
                <w:kern w:val="0"/>
                <w:szCs w:val="21"/>
                <w:lang w:val="en-US" w:eastAsia="zh-CN"/>
              </w:rPr>
              <w:t>0</w:t>
            </w:r>
          </w:p>
        </w:tc>
      </w:tr>
      <w:tr>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行政规范性文件</w:t>
            </w:r>
          </w:p>
        </w:tc>
        <w:tc>
          <w:tcPr>
            <w:tcW w:w="2206" w:type="dxa"/>
            <w:tcBorders>
              <w:top w:val="nil"/>
              <w:left w:val="nil"/>
              <w:bottom w:val="single" w:color="auto" w:sz="8" w:space="0"/>
              <w:right w:val="single" w:color="auto" w:sz="8" w:space="0"/>
            </w:tcBorders>
            <w:noWrap w:val="0"/>
            <w:vAlign w:val="center"/>
          </w:tcPr>
          <w:p>
            <w:pPr>
              <w:widowControl/>
              <w:jc w:val="left"/>
              <w:rPr>
                <w:rFonts w:hint="eastAsia" w:ascii="仿宋_GB2312" w:hAnsi="宋体" w:eastAsia="仿宋_GB2312" w:cs="宋体"/>
                <w:color w:val="000000"/>
                <w:kern w:val="0"/>
                <w:sz w:val="21"/>
                <w:szCs w:val="21"/>
                <w:lang w:val="en-US" w:eastAsia="zh-CN" w:bidi="ar-SA"/>
              </w:rPr>
            </w:pPr>
            <w:r>
              <w:rPr>
                <w:rFonts w:hint="eastAsia" w:ascii="仿宋_GB2312" w:hAnsi="宋体" w:eastAsia="仿宋_GB2312" w:cs="宋体"/>
                <w:color w:val="000000"/>
                <w:kern w:val="0"/>
                <w:szCs w:val="21"/>
              </w:rPr>
              <w:t>　　</w:t>
            </w:r>
            <w:r>
              <w:rPr>
                <w:rFonts w:hint="eastAsia" w:ascii="仿宋_GB2312" w:hAnsi="宋体" w:eastAsia="仿宋_GB2312" w:cs="宋体"/>
                <w:color w:val="000000"/>
                <w:kern w:val="0"/>
                <w:szCs w:val="21"/>
                <w:lang w:val="en-US" w:eastAsia="zh-CN"/>
              </w:rPr>
              <w:t>2</w:t>
            </w:r>
          </w:p>
        </w:tc>
        <w:tc>
          <w:tcPr>
            <w:tcW w:w="2206" w:type="dxa"/>
            <w:tcBorders>
              <w:top w:val="nil"/>
              <w:left w:val="nil"/>
              <w:bottom w:val="single" w:color="auto" w:sz="8" w:space="0"/>
              <w:right w:val="single" w:color="auto" w:sz="8" w:space="0"/>
            </w:tcBorders>
            <w:noWrap w:val="0"/>
            <w:vAlign w:val="center"/>
          </w:tcPr>
          <w:p>
            <w:pPr>
              <w:widowControl/>
              <w:jc w:val="left"/>
              <w:rPr>
                <w:rFonts w:hint="eastAsia" w:ascii="仿宋_GB2312" w:hAnsi="宋体" w:eastAsia="仿宋_GB2312" w:cs="宋体"/>
                <w:color w:val="000000"/>
                <w:kern w:val="0"/>
                <w:sz w:val="21"/>
                <w:szCs w:val="21"/>
                <w:lang w:val="en-US" w:eastAsia="zh-CN" w:bidi="ar-SA"/>
              </w:rPr>
            </w:pPr>
            <w:r>
              <w:rPr>
                <w:rFonts w:hint="eastAsia" w:ascii="仿宋_GB2312" w:hAnsi="宋体" w:eastAsia="仿宋_GB2312" w:cs="宋体"/>
                <w:color w:val="000000"/>
                <w:kern w:val="0"/>
                <w:szCs w:val="21"/>
              </w:rPr>
              <w:t> 　</w:t>
            </w:r>
            <w:r>
              <w:rPr>
                <w:rFonts w:hint="eastAsia" w:ascii="仿宋_GB2312" w:hAnsi="宋体" w:eastAsia="仿宋_GB2312" w:cs="宋体"/>
                <w:color w:val="000000"/>
                <w:kern w:val="0"/>
                <w:szCs w:val="21"/>
                <w:lang w:val="en-US" w:eastAsia="zh-CN"/>
              </w:rPr>
              <w:t>2</w:t>
            </w:r>
          </w:p>
        </w:tc>
        <w:tc>
          <w:tcPr>
            <w:tcW w:w="2206" w:type="dxa"/>
            <w:tcBorders>
              <w:top w:val="nil"/>
              <w:left w:val="nil"/>
              <w:bottom w:val="single" w:color="auto" w:sz="8" w:space="0"/>
              <w:right w:val="single" w:color="auto" w:sz="8" w:space="0"/>
            </w:tcBorders>
            <w:noWrap w:val="0"/>
            <w:vAlign w:val="center"/>
          </w:tcPr>
          <w:p>
            <w:pPr>
              <w:widowControl/>
              <w:jc w:val="left"/>
              <w:rPr>
                <w:rFonts w:hint="eastAsia" w:ascii="仿宋_GB2312" w:hAnsi="Calibri" w:eastAsia="仿宋_GB2312" w:cs="Calibri"/>
                <w:color w:val="000000"/>
                <w:kern w:val="0"/>
                <w:sz w:val="21"/>
                <w:szCs w:val="21"/>
                <w:lang w:val="en-US" w:eastAsia="zh-CN" w:bidi="ar-SA"/>
              </w:rPr>
            </w:pPr>
            <w:r>
              <w:rPr>
                <w:rFonts w:hint="eastAsia" w:ascii="仿宋_GB2312" w:hAnsi="Calibri" w:eastAsia="仿宋_GB2312" w:cs="Calibri"/>
                <w:color w:val="000000"/>
                <w:kern w:val="0"/>
                <w:szCs w:val="21"/>
              </w:rPr>
              <w:t>　</w:t>
            </w:r>
            <w:r>
              <w:rPr>
                <w:rFonts w:hint="eastAsia" w:ascii="仿宋_GB2312" w:hAnsi="Calibri" w:eastAsia="仿宋_GB2312" w:cs="Calibri"/>
                <w:color w:val="000000"/>
                <w:kern w:val="0"/>
                <w:szCs w:val="21"/>
                <w:lang w:val="en-US" w:eastAsia="zh-CN"/>
              </w:rPr>
              <w:t>3</w:t>
            </w:r>
          </w:p>
        </w:tc>
      </w:tr>
      <w:tr>
        <w:tblPrEx>
          <w:tblCellMar>
            <w:top w:w="0" w:type="dxa"/>
            <w:left w:w="108" w:type="dxa"/>
            <w:bottom w:w="0" w:type="dxa"/>
            <w:right w:w="108" w:type="dxa"/>
          </w:tblCellMar>
        </w:tblPrEx>
        <w:trPr>
          <w:trHeight w:val="567" w:hRule="atLeast"/>
          <w:jc w:val="center"/>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第二十条第（五）项</w:t>
            </w:r>
          </w:p>
        </w:tc>
      </w:tr>
      <w:tr>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本年处理决定数量</w:t>
            </w:r>
          </w:p>
        </w:tc>
      </w:tr>
      <w:tr>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行政许可</w:t>
            </w:r>
          </w:p>
        </w:tc>
        <w:tc>
          <w:tcPr>
            <w:tcW w:w="6618" w:type="dxa"/>
            <w:gridSpan w:val="3"/>
            <w:tcBorders>
              <w:top w:val="single" w:color="auto" w:sz="8" w:space="0"/>
              <w:left w:val="nil"/>
              <w:bottom w:val="single" w:color="auto" w:sz="8" w:space="0"/>
              <w:right w:val="single" w:color="000000" w:sz="8" w:space="0"/>
            </w:tcBorders>
            <w:noWrap w:val="0"/>
            <w:vAlign w:val="center"/>
          </w:tcPr>
          <w:p>
            <w:pPr>
              <w:widowControl/>
              <w:jc w:val="center"/>
              <w:rPr>
                <w:rFonts w:hint="default" w:ascii="仿宋_GB2312" w:hAnsi="Calibri" w:eastAsia="仿宋_GB2312" w:cs="Calibri"/>
                <w:color w:val="000000"/>
                <w:kern w:val="0"/>
                <w:szCs w:val="21"/>
                <w:lang w:val="en-US" w:eastAsia="zh-CN"/>
              </w:rPr>
            </w:pPr>
            <w:r>
              <w:rPr>
                <w:rFonts w:hint="eastAsia" w:ascii="仿宋_GB2312" w:hAnsi="Calibri" w:eastAsia="仿宋_GB2312" w:cs="Calibri"/>
                <w:color w:val="000000"/>
                <w:kern w:val="0"/>
                <w:szCs w:val="21"/>
                <w:lang w:val="en-US" w:eastAsia="zh-CN"/>
              </w:rPr>
              <w:t>40249</w:t>
            </w:r>
          </w:p>
        </w:tc>
      </w:tr>
      <w:tr>
        <w:tblPrEx>
          <w:tblCellMar>
            <w:top w:w="0" w:type="dxa"/>
            <w:left w:w="108" w:type="dxa"/>
            <w:bottom w:w="0" w:type="dxa"/>
            <w:right w:w="108" w:type="dxa"/>
          </w:tblCellMar>
        </w:tblPrEx>
        <w:trPr>
          <w:trHeight w:val="567" w:hRule="atLeast"/>
          <w:jc w:val="center"/>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第二十条第（六）项</w:t>
            </w:r>
          </w:p>
        </w:tc>
      </w:tr>
      <w:tr>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本年处理决定数量</w:t>
            </w:r>
          </w:p>
        </w:tc>
      </w:tr>
      <w:tr>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行政处罚</w:t>
            </w:r>
          </w:p>
        </w:tc>
        <w:tc>
          <w:tcPr>
            <w:tcW w:w="6618" w:type="dxa"/>
            <w:gridSpan w:val="3"/>
            <w:tcBorders>
              <w:top w:val="single" w:color="auto" w:sz="8" w:space="0"/>
              <w:left w:val="nil"/>
              <w:bottom w:val="single" w:color="auto" w:sz="8" w:space="0"/>
              <w:right w:val="single" w:color="000000" w:sz="8" w:space="0"/>
            </w:tcBorders>
            <w:noWrap w:val="0"/>
            <w:vAlign w:val="center"/>
          </w:tcPr>
          <w:p>
            <w:pPr>
              <w:widowControl/>
              <w:jc w:val="center"/>
              <w:rPr>
                <w:rFonts w:hint="eastAsia"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lang w:val="en-US" w:eastAsia="zh-CN"/>
              </w:rPr>
              <w:t>0</w:t>
            </w:r>
          </w:p>
        </w:tc>
      </w:tr>
      <w:tr>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行政强制</w:t>
            </w:r>
          </w:p>
        </w:tc>
        <w:tc>
          <w:tcPr>
            <w:tcW w:w="6618" w:type="dxa"/>
            <w:gridSpan w:val="3"/>
            <w:tcBorders>
              <w:top w:val="single" w:color="auto" w:sz="8" w:space="0"/>
              <w:left w:val="nil"/>
              <w:bottom w:val="single" w:color="auto" w:sz="8" w:space="0"/>
              <w:right w:val="single" w:color="000000" w:sz="8" w:space="0"/>
            </w:tcBorders>
            <w:noWrap w:val="0"/>
            <w:vAlign w:val="center"/>
          </w:tcPr>
          <w:p>
            <w:pPr>
              <w:widowControl/>
              <w:jc w:val="center"/>
              <w:rPr>
                <w:rFonts w:hint="eastAsia" w:ascii="仿宋_GB2312" w:hAnsi="宋体" w:eastAsia="仿宋_GB2312" w:cs="宋体"/>
                <w:color w:val="000000"/>
                <w:kern w:val="0"/>
                <w:szCs w:val="21"/>
                <w:lang w:val="en-US" w:eastAsia="zh-CN"/>
              </w:rPr>
            </w:pPr>
            <w:r>
              <w:rPr>
                <w:rFonts w:hint="eastAsia" w:ascii="仿宋_GB2312" w:hAnsi="宋体" w:eastAsia="仿宋_GB2312" w:cs="宋体"/>
                <w:color w:val="000000"/>
                <w:kern w:val="0"/>
                <w:szCs w:val="21"/>
                <w:lang w:val="en-US" w:eastAsia="zh-CN"/>
              </w:rPr>
              <w:t>0</w:t>
            </w:r>
          </w:p>
        </w:tc>
      </w:tr>
      <w:tr>
        <w:tblPrEx>
          <w:tblCellMar>
            <w:top w:w="0" w:type="dxa"/>
            <w:left w:w="108" w:type="dxa"/>
            <w:bottom w:w="0" w:type="dxa"/>
            <w:right w:w="108" w:type="dxa"/>
          </w:tblCellMar>
        </w:tblPrEx>
        <w:trPr>
          <w:trHeight w:val="567" w:hRule="atLeast"/>
          <w:jc w:val="center"/>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第二十条第（八）项</w:t>
            </w:r>
          </w:p>
        </w:tc>
      </w:tr>
      <w:tr>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本年收费金额（单位：万元）</w:t>
            </w:r>
          </w:p>
        </w:tc>
      </w:tr>
      <w:tr>
        <w:tblPrEx>
          <w:tblCellMar>
            <w:top w:w="0" w:type="dxa"/>
            <w:left w:w="108" w:type="dxa"/>
            <w:bottom w:w="0" w:type="dxa"/>
            <w:right w:w="108" w:type="dxa"/>
          </w:tblCellMar>
        </w:tblPrEx>
        <w:trPr>
          <w:trHeight w:val="567" w:hRule="atLeast"/>
          <w:jc w:val="center"/>
        </w:trPr>
        <w:tc>
          <w:tcPr>
            <w:tcW w:w="2206" w:type="dxa"/>
            <w:tcBorders>
              <w:top w:val="nil"/>
              <w:left w:val="single" w:color="auto" w:sz="8" w:space="0"/>
              <w:bottom w:val="single" w:color="auto" w:sz="8" w:space="0"/>
              <w:right w:val="single" w:color="auto" w:sz="8" w:space="0"/>
            </w:tcBorders>
            <w:noWrap w:val="0"/>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行政事业性收费</w:t>
            </w:r>
          </w:p>
        </w:tc>
        <w:tc>
          <w:tcPr>
            <w:tcW w:w="6618" w:type="dxa"/>
            <w:gridSpan w:val="3"/>
            <w:tcBorders>
              <w:top w:val="single" w:color="auto" w:sz="8" w:space="0"/>
              <w:left w:val="nil"/>
              <w:bottom w:val="single" w:color="auto" w:sz="8" w:space="0"/>
              <w:right w:val="single" w:color="000000" w:sz="8" w:space="0"/>
            </w:tcBorders>
            <w:noWrap w:val="0"/>
            <w:vAlign w:val="center"/>
          </w:tcPr>
          <w:p>
            <w:pPr>
              <w:widowControl/>
              <w:jc w:val="center"/>
              <w:rPr>
                <w:rFonts w:hint="eastAsia" w:ascii="仿宋_GB2312" w:hAnsi="Calibri" w:eastAsia="仿宋_GB2312" w:cs="Calibri"/>
                <w:color w:val="000000"/>
                <w:kern w:val="0"/>
                <w:szCs w:val="21"/>
                <w:lang w:val="en-US" w:eastAsia="zh-CN"/>
              </w:rPr>
            </w:pPr>
            <w:r>
              <w:rPr>
                <w:rFonts w:hint="eastAsia" w:ascii="仿宋_GB2312" w:hAnsi="Calibri" w:eastAsia="仿宋_GB2312" w:cs="Calibri"/>
                <w:color w:val="000000"/>
                <w:kern w:val="0"/>
                <w:szCs w:val="21"/>
                <w:lang w:val="en-US" w:eastAsia="zh-CN"/>
              </w:rPr>
              <w:t>0</w:t>
            </w:r>
          </w:p>
        </w:tc>
      </w:tr>
    </w:tbl>
    <w:p>
      <w:pPr>
        <w:pStyle w:val="2"/>
        <w:numPr>
          <w:ilvl w:val="0"/>
          <w:numId w:val="0"/>
        </w:numPr>
      </w:pPr>
    </w:p>
    <w:p>
      <w:pPr>
        <w:widowControl/>
        <w:jc w:val="left"/>
        <w:rPr>
          <w:rFonts w:ascii="宋体" w:hAnsi="宋体" w:eastAsia="宋体" w:cs="宋体"/>
          <w:color w:val="000000"/>
          <w:kern w:val="0"/>
          <w:sz w:val="20"/>
          <w:szCs w:val="20"/>
        </w:rPr>
      </w:pPr>
    </w:p>
    <w:p>
      <w:pPr>
        <w:keepNext w:val="0"/>
        <w:keepLines w:val="0"/>
        <w:pageBreakBefore w:val="0"/>
        <w:widowControl/>
        <w:numPr>
          <w:ilvl w:val="0"/>
          <w:numId w:val="1"/>
        </w:numPr>
        <w:kinsoku/>
        <w:wordWrap/>
        <w:overflowPunct/>
        <w:topLinePunct w:val="0"/>
        <w:autoSpaceDE/>
        <w:autoSpaceDN/>
        <w:bidi w:val="0"/>
        <w:adjustRightInd/>
        <w:snapToGrid/>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收到和处理政府信息公开申请情况</w:t>
      </w:r>
    </w:p>
    <w:tbl>
      <w:tblPr>
        <w:tblStyle w:val="8"/>
        <w:tblW w:w="991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16"/>
        <w:gridCol w:w="1701"/>
        <w:gridCol w:w="2976"/>
        <w:gridCol w:w="829"/>
        <w:gridCol w:w="567"/>
        <w:gridCol w:w="567"/>
        <w:gridCol w:w="731"/>
        <w:gridCol w:w="708"/>
        <w:gridCol w:w="567"/>
        <w:gridCol w:w="85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13" w:hRule="atLeast"/>
          <w:jc w:val="center"/>
        </w:trPr>
        <w:tc>
          <w:tcPr>
            <w:tcW w:w="5093" w:type="dxa"/>
            <w:gridSpan w:val="3"/>
            <w:vMerge w:val="restart"/>
            <w:noWrap w:val="0"/>
            <w:tcMar>
              <w:left w:w="108" w:type="dxa"/>
              <w:right w:w="108" w:type="dxa"/>
            </w:tcMar>
            <w:vAlign w:val="center"/>
          </w:tcPr>
          <w:p>
            <w:pPr>
              <w:widowControl/>
              <w:jc w:val="center"/>
              <w:rPr>
                <w:rFonts w:ascii="楷体_GB2312" w:hAnsi="黑体" w:eastAsia="楷体_GB2312"/>
                <w:kern w:val="0"/>
                <w:szCs w:val="21"/>
              </w:rPr>
            </w:pPr>
            <w:r>
              <w:rPr>
                <w:rFonts w:hint="eastAsia" w:ascii="楷体_GB2312" w:hAnsi="黑体" w:eastAsia="楷体_GB2312"/>
                <w:kern w:val="0"/>
                <w:szCs w:val="21"/>
              </w:rPr>
              <w:t>（本列数据的勾稽关系为：第一项加第二项之和，</w:t>
            </w:r>
          </w:p>
          <w:p>
            <w:pPr>
              <w:widowControl/>
              <w:jc w:val="center"/>
              <w:rPr>
                <w:rFonts w:ascii="仿宋_GB2312" w:hAnsi="Times New Roman" w:eastAsia="仿宋_GB2312"/>
                <w:szCs w:val="21"/>
              </w:rPr>
            </w:pPr>
            <w:r>
              <w:rPr>
                <w:rFonts w:hint="eastAsia" w:ascii="楷体_GB2312" w:hAnsi="黑体" w:eastAsia="楷体_GB2312"/>
                <w:kern w:val="0"/>
                <w:szCs w:val="21"/>
              </w:rPr>
              <w:t>等于第三项加第四项之和）</w:t>
            </w:r>
          </w:p>
        </w:tc>
        <w:tc>
          <w:tcPr>
            <w:tcW w:w="4820" w:type="dxa"/>
            <w:gridSpan w:val="7"/>
            <w:noWrap w:val="0"/>
            <w:tcMar>
              <w:left w:w="108" w:type="dxa"/>
              <w:right w:w="108" w:type="dxa"/>
            </w:tcMar>
            <w:vAlign w:val="center"/>
          </w:tcPr>
          <w:p>
            <w:pPr>
              <w:widowControl/>
              <w:spacing w:line="320" w:lineRule="exact"/>
              <w:jc w:val="center"/>
              <w:rPr>
                <w:rFonts w:ascii="黑体" w:hAnsi="黑体" w:eastAsia="黑体"/>
                <w:szCs w:val="21"/>
              </w:rPr>
            </w:pPr>
            <w:r>
              <w:rPr>
                <w:rFonts w:hint="eastAsia" w:ascii="黑体" w:hAnsi="黑体" w:eastAsia="黑体"/>
                <w:kern w:val="0"/>
                <w:szCs w:val="21"/>
              </w:rPr>
              <w:t>申请人情况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5093" w:type="dxa"/>
            <w:gridSpan w:val="3"/>
            <w:vMerge w:val="continue"/>
            <w:noWrap w:val="0"/>
            <w:tcMar>
              <w:left w:w="108" w:type="dxa"/>
              <w:right w:w="108" w:type="dxa"/>
            </w:tcMar>
            <w:vAlign w:val="center"/>
          </w:tcPr>
          <w:p>
            <w:pPr>
              <w:jc w:val="center"/>
              <w:rPr>
                <w:rFonts w:ascii="仿宋_GB2312" w:hAnsi="Times New Roman" w:eastAsia="仿宋_GB2312"/>
                <w:szCs w:val="21"/>
              </w:rPr>
            </w:pPr>
          </w:p>
        </w:tc>
        <w:tc>
          <w:tcPr>
            <w:tcW w:w="829" w:type="dxa"/>
            <w:vMerge w:val="restart"/>
            <w:noWrap w:val="0"/>
            <w:tcMar>
              <w:left w:w="108" w:type="dxa"/>
              <w:right w:w="108" w:type="dxa"/>
            </w:tcMar>
            <w:vAlign w:val="center"/>
          </w:tcPr>
          <w:p>
            <w:pPr>
              <w:widowControl/>
              <w:jc w:val="center"/>
              <w:rPr>
                <w:rFonts w:ascii="黑体" w:hAnsi="黑体" w:eastAsia="黑体"/>
                <w:szCs w:val="21"/>
              </w:rPr>
            </w:pPr>
            <w:r>
              <w:rPr>
                <w:rFonts w:hint="eastAsia" w:ascii="黑体" w:hAnsi="黑体" w:eastAsia="黑体"/>
                <w:kern w:val="0"/>
                <w:szCs w:val="21"/>
              </w:rPr>
              <w:t>自然人</w:t>
            </w:r>
          </w:p>
        </w:tc>
        <w:tc>
          <w:tcPr>
            <w:tcW w:w="3140" w:type="dxa"/>
            <w:gridSpan w:val="5"/>
            <w:noWrap w:val="0"/>
            <w:tcMar>
              <w:left w:w="108" w:type="dxa"/>
              <w:right w:w="108" w:type="dxa"/>
            </w:tcMar>
            <w:vAlign w:val="center"/>
          </w:tcPr>
          <w:p>
            <w:pPr>
              <w:widowControl/>
              <w:spacing w:line="320" w:lineRule="exact"/>
              <w:jc w:val="center"/>
              <w:rPr>
                <w:rFonts w:ascii="黑体" w:hAnsi="黑体" w:eastAsia="黑体"/>
                <w:szCs w:val="21"/>
              </w:rPr>
            </w:pPr>
            <w:r>
              <w:rPr>
                <w:rFonts w:hint="eastAsia" w:ascii="黑体" w:hAnsi="黑体" w:eastAsia="黑体"/>
                <w:kern w:val="0"/>
                <w:szCs w:val="21"/>
              </w:rPr>
              <w:t>法人或其他组织</w:t>
            </w:r>
          </w:p>
        </w:tc>
        <w:tc>
          <w:tcPr>
            <w:tcW w:w="851" w:type="dxa"/>
            <w:vMerge w:val="restart"/>
            <w:noWrap w:val="0"/>
            <w:tcMar>
              <w:left w:w="108" w:type="dxa"/>
              <w:right w:w="108" w:type="dxa"/>
            </w:tcMar>
            <w:vAlign w:val="center"/>
          </w:tcPr>
          <w:p>
            <w:pPr>
              <w:widowControl/>
              <w:jc w:val="center"/>
              <w:rPr>
                <w:rFonts w:ascii="黑体" w:hAnsi="黑体" w:eastAsia="黑体"/>
                <w:szCs w:val="21"/>
              </w:rPr>
            </w:pPr>
            <w:r>
              <w:rPr>
                <w:rFonts w:hint="eastAsia" w:ascii="黑体" w:hAnsi="黑体" w:eastAsia="黑体"/>
                <w:kern w:val="0"/>
                <w:szCs w:val="21"/>
              </w:rPr>
              <w:t>总计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22" w:hRule="atLeast"/>
          <w:jc w:val="center"/>
        </w:trPr>
        <w:tc>
          <w:tcPr>
            <w:tcW w:w="5093" w:type="dxa"/>
            <w:gridSpan w:val="3"/>
            <w:vMerge w:val="continue"/>
            <w:noWrap w:val="0"/>
            <w:tcMar>
              <w:left w:w="108" w:type="dxa"/>
              <w:right w:w="108" w:type="dxa"/>
            </w:tcMar>
            <w:vAlign w:val="center"/>
          </w:tcPr>
          <w:p>
            <w:pPr>
              <w:jc w:val="center"/>
              <w:rPr>
                <w:rFonts w:ascii="仿宋_GB2312" w:hAnsi="Times New Roman" w:eastAsia="仿宋_GB2312"/>
                <w:szCs w:val="21"/>
              </w:rPr>
            </w:pPr>
          </w:p>
        </w:tc>
        <w:tc>
          <w:tcPr>
            <w:tcW w:w="829" w:type="dxa"/>
            <w:vMerge w:val="continue"/>
            <w:noWrap w:val="0"/>
            <w:tcMar>
              <w:left w:w="108" w:type="dxa"/>
              <w:right w:w="108" w:type="dxa"/>
            </w:tcMar>
            <w:vAlign w:val="center"/>
          </w:tcPr>
          <w:p>
            <w:pPr>
              <w:jc w:val="center"/>
              <w:rPr>
                <w:rFonts w:ascii="黑体" w:hAnsi="黑体" w:eastAsia="黑体"/>
                <w:szCs w:val="21"/>
              </w:rPr>
            </w:pPr>
          </w:p>
        </w:tc>
        <w:tc>
          <w:tcPr>
            <w:tcW w:w="567" w:type="dxa"/>
            <w:noWrap w:val="0"/>
            <w:tcMar>
              <w:left w:w="108" w:type="dxa"/>
              <w:right w:w="108" w:type="dxa"/>
            </w:tcMar>
            <w:vAlign w:val="center"/>
          </w:tcPr>
          <w:p>
            <w:pPr>
              <w:widowControl/>
              <w:spacing w:line="320" w:lineRule="exact"/>
              <w:ind w:left="-106" w:leftChars="-51" w:right="-107" w:rightChars="-51" w:hanging="1"/>
              <w:jc w:val="center"/>
              <w:rPr>
                <w:rFonts w:ascii="黑体" w:hAnsi="黑体" w:eastAsia="黑体"/>
                <w:szCs w:val="21"/>
              </w:rPr>
            </w:pPr>
            <w:r>
              <w:rPr>
                <w:rFonts w:hint="eastAsia" w:ascii="黑体" w:hAnsi="黑体" w:eastAsia="黑体"/>
                <w:kern w:val="0"/>
                <w:szCs w:val="21"/>
              </w:rPr>
              <w:t>商业企业</w:t>
            </w:r>
          </w:p>
        </w:tc>
        <w:tc>
          <w:tcPr>
            <w:tcW w:w="567" w:type="dxa"/>
            <w:noWrap w:val="0"/>
            <w:tcMar>
              <w:left w:w="108" w:type="dxa"/>
              <w:right w:w="108" w:type="dxa"/>
            </w:tcMar>
            <w:vAlign w:val="center"/>
          </w:tcPr>
          <w:p>
            <w:pPr>
              <w:widowControl/>
              <w:spacing w:line="320" w:lineRule="exact"/>
              <w:ind w:left="-107" w:leftChars="-51" w:right="-107" w:rightChars="-51"/>
              <w:jc w:val="center"/>
              <w:rPr>
                <w:rFonts w:ascii="黑体" w:hAnsi="黑体" w:eastAsia="黑体"/>
                <w:szCs w:val="21"/>
              </w:rPr>
            </w:pPr>
            <w:r>
              <w:rPr>
                <w:rFonts w:hint="eastAsia" w:ascii="黑体" w:hAnsi="黑体" w:eastAsia="黑体"/>
                <w:kern w:val="0"/>
                <w:szCs w:val="21"/>
              </w:rPr>
              <w:t>科研机构</w:t>
            </w:r>
          </w:p>
        </w:tc>
        <w:tc>
          <w:tcPr>
            <w:tcW w:w="731" w:type="dxa"/>
            <w:noWrap w:val="0"/>
            <w:tcMar>
              <w:left w:w="108" w:type="dxa"/>
              <w:right w:w="108" w:type="dxa"/>
            </w:tcMar>
            <w:vAlign w:val="center"/>
          </w:tcPr>
          <w:p>
            <w:pPr>
              <w:widowControl/>
              <w:spacing w:line="320" w:lineRule="exact"/>
              <w:ind w:left="-107" w:leftChars="-51" w:right="-107" w:rightChars="-51"/>
              <w:jc w:val="center"/>
              <w:rPr>
                <w:rFonts w:ascii="黑体" w:hAnsi="黑体" w:eastAsia="黑体"/>
                <w:szCs w:val="21"/>
              </w:rPr>
            </w:pPr>
            <w:r>
              <w:rPr>
                <w:rFonts w:hint="eastAsia" w:ascii="黑体" w:hAnsi="黑体" w:eastAsia="黑体"/>
                <w:kern w:val="0"/>
                <w:szCs w:val="21"/>
              </w:rPr>
              <w:t>社会公益组织</w:t>
            </w:r>
          </w:p>
        </w:tc>
        <w:tc>
          <w:tcPr>
            <w:tcW w:w="708" w:type="dxa"/>
            <w:noWrap w:val="0"/>
            <w:tcMar>
              <w:left w:w="108" w:type="dxa"/>
              <w:right w:w="108" w:type="dxa"/>
            </w:tcMar>
            <w:vAlign w:val="center"/>
          </w:tcPr>
          <w:p>
            <w:pPr>
              <w:widowControl/>
              <w:spacing w:line="320" w:lineRule="exact"/>
              <w:ind w:left="-106" w:leftChars="-51" w:right="-107" w:rightChars="-51" w:hanging="1"/>
              <w:jc w:val="center"/>
              <w:rPr>
                <w:rFonts w:ascii="黑体" w:hAnsi="黑体" w:eastAsia="黑体"/>
                <w:szCs w:val="21"/>
              </w:rPr>
            </w:pPr>
            <w:r>
              <w:rPr>
                <w:rFonts w:hint="eastAsia" w:ascii="黑体" w:hAnsi="黑体" w:eastAsia="黑体"/>
                <w:kern w:val="0"/>
                <w:szCs w:val="21"/>
              </w:rPr>
              <w:t>法律服务机构</w:t>
            </w:r>
          </w:p>
        </w:tc>
        <w:tc>
          <w:tcPr>
            <w:tcW w:w="567" w:type="dxa"/>
            <w:noWrap w:val="0"/>
            <w:tcMar>
              <w:left w:w="108" w:type="dxa"/>
              <w:right w:w="108" w:type="dxa"/>
            </w:tcMar>
            <w:vAlign w:val="center"/>
          </w:tcPr>
          <w:p>
            <w:pPr>
              <w:widowControl/>
              <w:spacing w:line="360" w:lineRule="exact"/>
              <w:ind w:left="-63" w:leftChars="-30" w:right="-134" w:rightChars="-64"/>
              <w:jc w:val="center"/>
              <w:rPr>
                <w:rFonts w:ascii="黑体" w:hAnsi="黑体" w:eastAsia="黑体"/>
                <w:szCs w:val="21"/>
              </w:rPr>
            </w:pPr>
            <w:r>
              <w:rPr>
                <w:rFonts w:hint="eastAsia" w:ascii="黑体" w:hAnsi="黑体" w:eastAsia="黑体"/>
                <w:kern w:val="0"/>
                <w:szCs w:val="21"/>
              </w:rPr>
              <w:t>其他</w:t>
            </w:r>
          </w:p>
        </w:tc>
        <w:tc>
          <w:tcPr>
            <w:tcW w:w="851" w:type="dxa"/>
            <w:vMerge w:val="continue"/>
            <w:noWrap w:val="0"/>
            <w:tcMar>
              <w:left w:w="108" w:type="dxa"/>
              <w:right w:w="108" w:type="dxa"/>
            </w:tcMar>
            <w:vAlign w:val="center"/>
          </w:tcPr>
          <w:p>
            <w:pPr>
              <w:jc w:val="center"/>
              <w:rPr>
                <w:rFonts w:ascii="仿宋_GB2312" w:hAnsi="Times New Roman" w:eastAsia="仿宋_GB231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5093" w:type="dxa"/>
            <w:gridSpan w:val="3"/>
            <w:noWrap w:val="0"/>
            <w:tcMar>
              <w:left w:w="108" w:type="dxa"/>
              <w:right w:w="108" w:type="dxa"/>
            </w:tcMar>
            <w:vAlign w:val="center"/>
          </w:tcPr>
          <w:p>
            <w:pPr>
              <w:widowControl/>
              <w:rPr>
                <w:rFonts w:ascii="黑体" w:hAnsi="黑体" w:eastAsia="黑体"/>
                <w:szCs w:val="21"/>
              </w:rPr>
            </w:pPr>
            <w:r>
              <w:rPr>
                <w:rFonts w:hint="eastAsia" w:ascii="黑体" w:hAnsi="黑体" w:eastAsia="黑体"/>
                <w:kern w:val="0"/>
                <w:szCs w:val="21"/>
              </w:rPr>
              <w:t>一、</w:t>
            </w:r>
            <w:bookmarkStart w:id="0" w:name="_Hlk66973412"/>
            <w:r>
              <w:rPr>
                <w:rFonts w:hint="eastAsia" w:ascii="黑体" w:hAnsi="黑体" w:eastAsia="黑体"/>
                <w:kern w:val="0"/>
                <w:szCs w:val="21"/>
              </w:rPr>
              <w:t>本年新收政府信息公开申请数量</w:t>
            </w:r>
            <w:bookmarkEnd w:id="0"/>
          </w:p>
        </w:tc>
        <w:tc>
          <w:tcPr>
            <w:tcW w:w="829"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12</w:t>
            </w:r>
          </w:p>
        </w:tc>
        <w:tc>
          <w:tcPr>
            <w:tcW w:w="567"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1</w:t>
            </w: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13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5093" w:type="dxa"/>
            <w:gridSpan w:val="3"/>
            <w:noWrap w:val="0"/>
            <w:tcMar>
              <w:left w:w="108" w:type="dxa"/>
              <w:right w:w="108" w:type="dxa"/>
            </w:tcMar>
            <w:vAlign w:val="center"/>
          </w:tcPr>
          <w:p>
            <w:pPr>
              <w:widowControl/>
              <w:rPr>
                <w:rFonts w:ascii="黑体" w:hAnsi="黑体" w:eastAsia="黑体"/>
                <w:szCs w:val="21"/>
              </w:rPr>
            </w:pPr>
            <w:r>
              <w:rPr>
                <w:rFonts w:hint="eastAsia" w:ascii="黑体" w:hAnsi="黑体" w:eastAsia="黑体"/>
                <w:kern w:val="0"/>
                <w:szCs w:val="21"/>
              </w:rPr>
              <w:t>二、上年结转政府信息公开申请数量</w:t>
            </w:r>
          </w:p>
        </w:tc>
        <w:tc>
          <w:tcPr>
            <w:tcW w:w="829"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restart"/>
            <w:noWrap w:val="0"/>
            <w:tcMar>
              <w:left w:w="108" w:type="dxa"/>
              <w:right w:w="108" w:type="dxa"/>
            </w:tcMar>
            <w:vAlign w:val="center"/>
          </w:tcPr>
          <w:p>
            <w:pPr>
              <w:widowControl/>
              <w:spacing w:after="180"/>
              <w:rPr>
                <w:rFonts w:ascii="黑体" w:hAnsi="黑体" w:eastAsia="黑体"/>
                <w:szCs w:val="21"/>
              </w:rPr>
            </w:pPr>
            <w:r>
              <w:rPr>
                <w:rFonts w:hint="eastAsia" w:ascii="黑体" w:hAnsi="黑体" w:eastAsia="黑体"/>
                <w:kern w:val="0"/>
                <w:szCs w:val="21"/>
              </w:rPr>
              <w:t>三、本年度办理结果</w:t>
            </w:r>
          </w:p>
        </w:tc>
        <w:tc>
          <w:tcPr>
            <w:tcW w:w="4677" w:type="dxa"/>
            <w:gridSpan w:val="2"/>
            <w:noWrap w:val="0"/>
            <w:tcMar>
              <w:left w:w="108" w:type="dxa"/>
              <w:right w:w="108" w:type="dxa"/>
            </w:tcMar>
            <w:vAlign w:val="center"/>
          </w:tcPr>
          <w:p>
            <w:pPr>
              <w:widowControl/>
              <w:rPr>
                <w:rFonts w:ascii="黑体" w:hAnsi="黑体" w:eastAsia="黑体"/>
                <w:szCs w:val="21"/>
              </w:rPr>
            </w:pPr>
            <w:r>
              <w:rPr>
                <w:rFonts w:hint="eastAsia" w:ascii="黑体" w:hAnsi="黑体" w:eastAsia="黑体"/>
                <w:kern w:val="0"/>
                <w:szCs w:val="21"/>
              </w:rPr>
              <w:t>（一）予以公开</w:t>
            </w:r>
          </w:p>
        </w:tc>
        <w:tc>
          <w:tcPr>
            <w:tcW w:w="829"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5</w:t>
            </w: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pPr>
              <w:rPr>
                <w:rFonts w:ascii="黑体" w:hAnsi="黑体" w:eastAsia="黑体"/>
                <w:szCs w:val="21"/>
              </w:rPr>
            </w:pPr>
          </w:p>
        </w:tc>
        <w:tc>
          <w:tcPr>
            <w:tcW w:w="4677" w:type="dxa"/>
            <w:gridSpan w:val="2"/>
            <w:noWrap w:val="0"/>
            <w:tcMar>
              <w:left w:w="108" w:type="dxa"/>
              <w:right w:w="108" w:type="dxa"/>
            </w:tcMar>
            <w:vAlign w:val="center"/>
          </w:tcPr>
          <w:p>
            <w:pPr>
              <w:widowControl/>
              <w:rPr>
                <w:rFonts w:ascii="黑体" w:hAnsi="黑体" w:eastAsia="黑体"/>
                <w:szCs w:val="21"/>
              </w:rPr>
            </w:pPr>
            <w:r>
              <w:rPr>
                <w:rFonts w:hint="eastAsia" w:ascii="黑体" w:hAnsi="黑体" w:eastAsia="黑体"/>
                <w:kern w:val="0"/>
                <w:szCs w:val="21"/>
              </w:rPr>
              <w:t>（二）部分公开（</w:t>
            </w:r>
            <w:bookmarkStart w:id="1" w:name="_Hlk66973981"/>
            <w:r>
              <w:rPr>
                <w:rFonts w:hint="eastAsia" w:ascii="黑体" w:hAnsi="黑体" w:eastAsia="黑体"/>
                <w:kern w:val="0"/>
                <w:szCs w:val="21"/>
              </w:rPr>
              <w:t>区分处理的，只计这一情形，不计其他情形</w:t>
            </w:r>
            <w:bookmarkEnd w:id="1"/>
            <w:r>
              <w:rPr>
                <w:rFonts w:hint="eastAsia" w:ascii="黑体" w:hAnsi="黑体" w:eastAsia="黑体"/>
                <w:kern w:val="0"/>
                <w:szCs w:val="21"/>
              </w:rPr>
              <w:t>）</w:t>
            </w:r>
          </w:p>
        </w:tc>
        <w:tc>
          <w:tcPr>
            <w:tcW w:w="829"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ascii="仿宋_GB2312" w:hAnsi="Times New Roman" w:eastAsia="仿宋_GB231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restart"/>
            <w:noWrap w:val="0"/>
            <w:tcMar>
              <w:left w:w="108" w:type="dxa"/>
              <w:right w:w="108" w:type="dxa"/>
            </w:tcMar>
            <w:vAlign w:val="center"/>
          </w:tcPr>
          <w:p>
            <w:pPr>
              <w:widowControl/>
              <w:spacing w:line="200" w:lineRule="exact"/>
              <w:ind w:left="-107" w:leftChars="-51"/>
              <w:rPr>
                <w:rFonts w:ascii="黑体" w:hAnsi="黑体" w:eastAsia="黑体"/>
                <w:szCs w:val="21"/>
              </w:rPr>
            </w:pPr>
            <w:r>
              <w:rPr>
                <w:rFonts w:hint="eastAsia" w:ascii="黑体" w:hAnsi="黑体" w:eastAsia="黑体"/>
                <w:kern w:val="0"/>
                <w:szCs w:val="21"/>
              </w:rPr>
              <w:t>（三）不予公开</w:t>
            </w: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1.属于国家秘密</w:t>
            </w:r>
          </w:p>
        </w:tc>
        <w:tc>
          <w:tcPr>
            <w:tcW w:w="829"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ascii="仿宋_GB2312" w:hAnsi="Times New Roman" w:eastAsia="仿宋_GB231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2.</w:t>
            </w:r>
            <w:bookmarkStart w:id="2" w:name="_Hlk66974104"/>
            <w:r>
              <w:rPr>
                <w:rFonts w:hint="eastAsia" w:ascii="仿宋_GB2312" w:hAnsi="黑体" w:eastAsia="仿宋_GB2312"/>
                <w:kern w:val="0"/>
                <w:szCs w:val="21"/>
              </w:rPr>
              <w:t>其他法律行政法规禁止公开</w:t>
            </w:r>
            <w:bookmarkEnd w:id="2"/>
          </w:p>
        </w:tc>
        <w:tc>
          <w:tcPr>
            <w:tcW w:w="829"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ascii="仿宋_GB2312" w:hAnsi="Times New Roman" w:eastAsia="仿宋_GB231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3.危及“三安全一稳定”</w:t>
            </w:r>
          </w:p>
        </w:tc>
        <w:tc>
          <w:tcPr>
            <w:tcW w:w="829"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ascii="仿宋_GB2312" w:hAnsi="Times New Roman" w:eastAsia="仿宋_GB231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4.</w:t>
            </w:r>
            <w:bookmarkStart w:id="3" w:name="_Hlk66974290"/>
            <w:r>
              <w:rPr>
                <w:rFonts w:hint="eastAsia" w:ascii="仿宋_GB2312" w:hAnsi="黑体" w:eastAsia="仿宋_GB2312"/>
                <w:kern w:val="0"/>
                <w:szCs w:val="21"/>
              </w:rPr>
              <w:t>保护第三方合法权益</w:t>
            </w:r>
            <w:bookmarkEnd w:id="3"/>
          </w:p>
        </w:tc>
        <w:tc>
          <w:tcPr>
            <w:tcW w:w="829"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ascii="仿宋_GB2312" w:hAnsi="Times New Roman" w:eastAsia="仿宋_GB231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5.属于三类内部事务信息</w:t>
            </w:r>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1</w:t>
            </w:r>
          </w:p>
        </w:tc>
        <w:tc>
          <w:tcPr>
            <w:tcW w:w="567"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6.</w:t>
            </w:r>
            <w:bookmarkStart w:id="4" w:name="_Hlk66974555"/>
            <w:r>
              <w:rPr>
                <w:rFonts w:hint="eastAsia" w:ascii="仿宋_GB2312" w:hAnsi="黑体" w:eastAsia="仿宋_GB2312"/>
                <w:kern w:val="0"/>
                <w:szCs w:val="21"/>
              </w:rPr>
              <w:t>属于四类过程性信息</w:t>
            </w:r>
            <w:bookmarkEnd w:id="4"/>
          </w:p>
        </w:tc>
        <w:tc>
          <w:tcPr>
            <w:tcW w:w="829"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ascii="仿宋_GB2312" w:hAnsi="Times New Roman" w:eastAsia="仿宋_GB231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7.属于行政执法案卷</w:t>
            </w:r>
          </w:p>
        </w:tc>
        <w:tc>
          <w:tcPr>
            <w:tcW w:w="829"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ascii="仿宋_GB2312" w:hAnsi="Times New Roman" w:eastAsia="仿宋_GB231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8.</w:t>
            </w:r>
            <w:bookmarkStart w:id="5" w:name="_Hlk66975211"/>
            <w:r>
              <w:rPr>
                <w:rFonts w:hint="eastAsia" w:ascii="仿宋_GB2312" w:hAnsi="黑体" w:eastAsia="仿宋_GB2312"/>
                <w:kern w:val="0"/>
                <w:szCs w:val="21"/>
              </w:rPr>
              <w:t>属于行政查询事项</w:t>
            </w:r>
            <w:bookmarkEnd w:id="5"/>
          </w:p>
        </w:tc>
        <w:tc>
          <w:tcPr>
            <w:tcW w:w="829"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ascii="仿宋_GB2312" w:hAnsi="Times New Roman" w:eastAsia="仿宋_GB231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restart"/>
            <w:noWrap w:val="0"/>
            <w:tcMar>
              <w:left w:w="108" w:type="dxa"/>
              <w:right w:w="108" w:type="dxa"/>
            </w:tcMar>
            <w:vAlign w:val="center"/>
          </w:tcPr>
          <w:p>
            <w:pPr>
              <w:widowControl/>
              <w:spacing w:line="200" w:lineRule="exact"/>
              <w:ind w:left="-107" w:leftChars="-51"/>
              <w:rPr>
                <w:rFonts w:ascii="黑体" w:hAnsi="黑体" w:eastAsia="黑体"/>
                <w:szCs w:val="21"/>
              </w:rPr>
            </w:pPr>
            <w:r>
              <w:rPr>
                <w:rFonts w:hint="eastAsia" w:ascii="黑体" w:hAnsi="黑体" w:eastAsia="黑体"/>
                <w:kern w:val="0"/>
                <w:szCs w:val="21"/>
              </w:rPr>
              <w:t>（四）无法提供</w:t>
            </w: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1.本机关不掌握相关政府信息</w:t>
            </w:r>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2</w:t>
            </w:r>
          </w:p>
        </w:tc>
        <w:tc>
          <w:tcPr>
            <w:tcW w:w="567" w:type="dxa"/>
            <w:noWrap w:val="0"/>
            <w:tcMar>
              <w:left w:w="108" w:type="dxa"/>
              <w:right w:w="108" w:type="dxa"/>
            </w:tcMar>
            <w:vAlign w:val="center"/>
          </w:tcPr>
          <w:p>
            <w:pPr>
              <w:widowControl/>
              <w:spacing w:after="180" w:line="200" w:lineRule="exact"/>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1</w:t>
            </w: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ind w:left="-107" w:leftChars="-51"/>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2.</w:t>
            </w:r>
            <w:bookmarkStart w:id="6" w:name="_Hlk66975392"/>
            <w:r>
              <w:rPr>
                <w:rFonts w:hint="eastAsia" w:ascii="仿宋_GB2312" w:hAnsi="黑体" w:eastAsia="仿宋_GB2312"/>
                <w:kern w:val="0"/>
                <w:szCs w:val="21"/>
              </w:rPr>
              <w:t>没有现成信息需要另行制作</w:t>
            </w:r>
            <w:bookmarkEnd w:id="6"/>
          </w:p>
        </w:tc>
        <w:tc>
          <w:tcPr>
            <w:tcW w:w="829"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ind w:left="-107" w:leftChars="-51"/>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3.</w:t>
            </w:r>
            <w:bookmarkStart w:id="7" w:name="_Hlk66975466"/>
            <w:r>
              <w:rPr>
                <w:rFonts w:hint="eastAsia" w:ascii="仿宋_GB2312" w:hAnsi="黑体" w:eastAsia="仿宋_GB2312"/>
                <w:kern w:val="0"/>
                <w:szCs w:val="21"/>
              </w:rPr>
              <w:t>补正后申请内容仍不明确</w:t>
            </w:r>
            <w:bookmarkEnd w:id="7"/>
          </w:p>
        </w:tc>
        <w:tc>
          <w:tcPr>
            <w:tcW w:w="829"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ascii="仿宋_GB2312" w:hAnsi="Times New Roman" w:eastAsia="仿宋_GB231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restart"/>
            <w:noWrap w:val="0"/>
            <w:tcMar>
              <w:left w:w="108" w:type="dxa"/>
              <w:right w:w="108" w:type="dxa"/>
            </w:tcMar>
            <w:vAlign w:val="center"/>
          </w:tcPr>
          <w:p>
            <w:pPr>
              <w:widowControl/>
              <w:spacing w:line="200" w:lineRule="exact"/>
              <w:ind w:left="-107" w:leftChars="-51"/>
              <w:rPr>
                <w:rFonts w:ascii="黑体" w:hAnsi="黑体" w:eastAsia="黑体"/>
                <w:szCs w:val="21"/>
              </w:rPr>
            </w:pPr>
            <w:r>
              <w:rPr>
                <w:rFonts w:hint="eastAsia" w:ascii="黑体" w:hAnsi="黑体" w:eastAsia="黑体"/>
                <w:kern w:val="0"/>
                <w:szCs w:val="21"/>
              </w:rPr>
              <w:t>（五）不予处理</w:t>
            </w: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1.</w:t>
            </w:r>
            <w:bookmarkStart w:id="8" w:name="_Hlk66975537"/>
            <w:r>
              <w:rPr>
                <w:rFonts w:hint="eastAsia" w:ascii="仿宋_GB2312" w:hAnsi="黑体" w:eastAsia="仿宋_GB2312"/>
                <w:kern w:val="0"/>
                <w:szCs w:val="21"/>
              </w:rPr>
              <w:t>信访举报投诉类申请</w:t>
            </w:r>
            <w:bookmarkEnd w:id="8"/>
          </w:p>
        </w:tc>
        <w:tc>
          <w:tcPr>
            <w:tcW w:w="829"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ascii="仿宋_GB2312" w:hAnsi="Times New Roman" w:eastAsia="仿宋_GB231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2.重复申请</w:t>
            </w:r>
          </w:p>
        </w:tc>
        <w:tc>
          <w:tcPr>
            <w:tcW w:w="829"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ascii="仿宋_GB2312" w:hAnsi="Times New Roman" w:eastAsia="仿宋_GB231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szCs w:val="21"/>
              </w:rPr>
            </w:pPr>
            <w:r>
              <w:rPr>
                <w:rFonts w:hint="eastAsia" w:ascii="仿宋_GB2312" w:hAnsi="黑体" w:eastAsia="仿宋_GB2312"/>
                <w:kern w:val="0"/>
                <w:szCs w:val="21"/>
              </w:rPr>
              <w:t>3.要求提供公开出版物</w:t>
            </w:r>
          </w:p>
        </w:tc>
        <w:tc>
          <w:tcPr>
            <w:tcW w:w="829"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ascii="仿宋_GB2312" w:hAnsi="Times New Roman" w:eastAsia="仿宋_GB231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200" w:lineRule="exact"/>
              <w:rPr>
                <w:rFonts w:ascii="仿宋_GB2312" w:hAnsi="黑体" w:eastAsia="仿宋_GB2312"/>
                <w:szCs w:val="21"/>
              </w:rPr>
            </w:pPr>
            <w:r>
              <w:rPr>
                <w:rFonts w:hint="eastAsia" w:ascii="仿宋_GB2312" w:hAnsi="黑体" w:eastAsia="仿宋_GB2312"/>
                <w:kern w:val="0"/>
                <w:szCs w:val="21"/>
              </w:rPr>
              <w:t>4.无正当理由大量反复申请</w:t>
            </w:r>
          </w:p>
        </w:tc>
        <w:tc>
          <w:tcPr>
            <w:tcW w:w="829"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ascii="仿宋_GB2312" w:hAnsi="Times New Roman" w:eastAsia="仿宋_GB231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spacing w:line="200" w:lineRule="exact"/>
              <w:rPr>
                <w:rFonts w:ascii="黑体" w:hAnsi="黑体" w:eastAsia="黑体"/>
                <w:szCs w:val="21"/>
              </w:rPr>
            </w:pPr>
          </w:p>
        </w:tc>
        <w:tc>
          <w:tcPr>
            <w:tcW w:w="2976" w:type="dxa"/>
            <w:noWrap w:val="0"/>
            <w:tcMar>
              <w:left w:w="108" w:type="dxa"/>
              <w:right w:w="108" w:type="dxa"/>
            </w:tcMar>
            <w:vAlign w:val="center"/>
          </w:tcPr>
          <w:p>
            <w:pPr>
              <w:widowControl/>
              <w:spacing w:line="300" w:lineRule="exact"/>
              <w:rPr>
                <w:rFonts w:ascii="仿宋_GB2312" w:hAnsi="黑体" w:eastAsia="仿宋_GB2312"/>
                <w:kern w:val="0"/>
                <w:szCs w:val="21"/>
              </w:rPr>
            </w:pPr>
            <w:r>
              <w:rPr>
                <w:rFonts w:hint="eastAsia" w:ascii="仿宋_GB2312" w:hAnsi="黑体" w:eastAsia="仿宋_GB2312"/>
                <w:kern w:val="0"/>
                <w:szCs w:val="21"/>
              </w:rPr>
              <w:t>5.要求行政机关确认或重新</w:t>
            </w:r>
          </w:p>
          <w:p>
            <w:pPr>
              <w:widowControl/>
              <w:spacing w:line="300" w:lineRule="exact"/>
              <w:ind w:firstLine="210" w:firstLineChars="100"/>
              <w:rPr>
                <w:rFonts w:ascii="仿宋_GB2312" w:hAnsi="黑体" w:eastAsia="仿宋_GB2312"/>
                <w:szCs w:val="21"/>
              </w:rPr>
            </w:pPr>
            <w:r>
              <w:rPr>
                <w:rFonts w:hint="eastAsia" w:ascii="仿宋_GB2312" w:hAnsi="黑体" w:eastAsia="仿宋_GB2312"/>
                <w:kern w:val="0"/>
                <w:szCs w:val="21"/>
              </w:rPr>
              <w:t>出具已获取信息</w:t>
            </w:r>
          </w:p>
        </w:tc>
        <w:tc>
          <w:tcPr>
            <w:tcW w:w="829"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ascii="仿宋_GB2312" w:hAnsi="Times New Roman" w:eastAsia="仿宋_GB231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restart"/>
            <w:noWrap w:val="0"/>
            <w:tcMar>
              <w:left w:w="108" w:type="dxa"/>
              <w:right w:w="108" w:type="dxa"/>
            </w:tcMar>
            <w:vAlign w:val="center"/>
          </w:tcPr>
          <w:p>
            <w:pPr>
              <w:widowControl/>
              <w:spacing w:line="300" w:lineRule="exact"/>
              <w:rPr>
                <w:rFonts w:ascii="黑体" w:hAnsi="黑体" w:eastAsia="黑体"/>
                <w:kern w:val="0"/>
                <w:szCs w:val="21"/>
              </w:rPr>
            </w:pPr>
            <w:r>
              <w:rPr>
                <w:rFonts w:hint="eastAsia" w:ascii="黑体" w:hAnsi="黑体" w:eastAsia="黑体"/>
                <w:kern w:val="0"/>
                <w:szCs w:val="21"/>
              </w:rPr>
              <w:t>（六）其他处理</w:t>
            </w:r>
          </w:p>
        </w:tc>
        <w:tc>
          <w:tcPr>
            <w:tcW w:w="2976" w:type="dxa"/>
            <w:noWrap w:val="0"/>
            <w:vAlign w:val="center"/>
          </w:tcPr>
          <w:p>
            <w:pPr>
              <w:widowControl/>
              <w:spacing w:line="300" w:lineRule="exact"/>
              <w:rPr>
                <w:rFonts w:ascii="仿宋_GB2312" w:hAnsi="楷体" w:eastAsia="仿宋_GB2312"/>
              </w:rPr>
            </w:pPr>
            <w:r>
              <w:rPr>
                <w:rFonts w:hint="eastAsia" w:ascii="仿宋_GB2312" w:hAnsi="楷体" w:eastAsia="仿宋_GB2312"/>
              </w:rPr>
              <w:t>1.申请人无正当理由逾期不补正、行政机关不再处理其政府信息公开申请</w:t>
            </w:r>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1</w:t>
            </w:r>
          </w:p>
        </w:tc>
        <w:tc>
          <w:tcPr>
            <w:tcW w:w="567"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widowControl/>
              <w:spacing w:line="300" w:lineRule="exact"/>
              <w:rPr>
                <w:rFonts w:ascii="黑体" w:hAnsi="黑体" w:eastAsia="黑体"/>
                <w:kern w:val="0"/>
                <w:szCs w:val="21"/>
              </w:rPr>
            </w:pPr>
          </w:p>
        </w:tc>
        <w:tc>
          <w:tcPr>
            <w:tcW w:w="2976" w:type="dxa"/>
            <w:noWrap w:val="0"/>
            <w:vAlign w:val="center"/>
          </w:tcPr>
          <w:p>
            <w:pPr>
              <w:widowControl/>
              <w:spacing w:line="300" w:lineRule="exact"/>
              <w:rPr>
                <w:rFonts w:ascii="仿宋_GB2312" w:hAnsi="黑体" w:eastAsia="仿宋_GB2312"/>
                <w:kern w:val="0"/>
                <w:szCs w:val="21"/>
              </w:rPr>
            </w:pPr>
            <w:r>
              <w:rPr>
                <w:rFonts w:hint="eastAsia" w:ascii="仿宋_GB2312" w:hAnsi="楷体" w:eastAsia="仿宋_GB2312"/>
              </w:rPr>
              <w:t>2.申请人逾期未按收费通知要求缴纳费用、行政机关不再处理其政府信息公开申请</w:t>
            </w:r>
          </w:p>
        </w:tc>
        <w:tc>
          <w:tcPr>
            <w:tcW w:w="829"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ascii="仿宋_GB2312" w:hAnsi="Times New Roman" w:eastAsia="仿宋_GB231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pPr>
              <w:rPr>
                <w:rFonts w:ascii="黑体" w:hAnsi="黑体" w:eastAsia="黑体"/>
                <w:szCs w:val="21"/>
              </w:rPr>
            </w:pPr>
          </w:p>
        </w:tc>
        <w:tc>
          <w:tcPr>
            <w:tcW w:w="1701" w:type="dxa"/>
            <w:vMerge w:val="continue"/>
            <w:noWrap w:val="0"/>
            <w:tcMar>
              <w:left w:w="108" w:type="dxa"/>
              <w:right w:w="108" w:type="dxa"/>
            </w:tcMar>
            <w:vAlign w:val="center"/>
          </w:tcPr>
          <w:p>
            <w:pPr>
              <w:widowControl/>
              <w:spacing w:line="300" w:lineRule="exact"/>
              <w:rPr>
                <w:rFonts w:ascii="黑体" w:hAnsi="黑体" w:eastAsia="黑体"/>
                <w:kern w:val="0"/>
                <w:szCs w:val="21"/>
              </w:rPr>
            </w:pPr>
          </w:p>
        </w:tc>
        <w:tc>
          <w:tcPr>
            <w:tcW w:w="2976" w:type="dxa"/>
            <w:noWrap w:val="0"/>
            <w:vAlign w:val="center"/>
          </w:tcPr>
          <w:p>
            <w:pPr>
              <w:widowControl/>
              <w:spacing w:line="300" w:lineRule="exact"/>
              <w:rPr>
                <w:rFonts w:ascii="仿宋_GB2312" w:hAnsi="黑体" w:eastAsia="仿宋_GB2312"/>
                <w:kern w:val="0"/>
                <w:szCs w:val="21"/>
              </w:rPr>
            </w:pPr>
            <w:r>
              <w:rPr>
                <w:rFonts w:hint="eastAsia" w:ascii="仿宋_GB2312" w:hAnsi="楷体" w:eastAsia="仿宋_GB2312"/>
              </w:rPr>
              <w:t>3.其他</w:t>
            </w:r>
          </w:p>
        </w:tc>
        <w:tc>
          <w:tcPr>
            <w:tcW w:w="829" w:type="dxa"/>
            <w:noWrap w:val="0"/>
            <w:tcMar>
              <w:left w:w="108" w:type="dxa"/>
              <w:right w:w="108" w:type="dxa"/>
            </w:tcMar>
            <w:vAlign w:val="center"/>
          </w:tcPr>
          <w:p>
            <w:pPr>
              <w:widowControl/>
              <w:spacing w:after="180" w:line="200" w:lineRule="exact"/>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3</w:t>
            </w:r>
            <w:bookmarkStart w:id="10" w:name="_GoBack"/>
            <w:bookmarkEnd w:id="10"/>
          </w:p>
        </w:tc>
        <w:tc>
          <w:tcPr>
            <w:tcW w:w="567"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16" w:type="dxa"/>
            <w:vMerge w:val="continue"/>
            <w:noWrap w:val="0"/>
            <w:tcMar>
              <w:left w:w="108" w:type="dxa"/>
              <w:right w:w="108" w:type="dxa"/>
            </w:tcMar>
            <w:vAlign w:val="center"/>
          </w:tcPr>
          <w:p>
            <w:pPr>
              <w:rPr>
                <w:rFonts w:ascii="黑体" w:hAnsi="黑体" w:eastAsia="黑体"/>
                <w:szCs w:val="21"/>
              </w:rPr>
            </w:pPr>
          </w:p>
        </w:tc>
        <w:tc>
          <w:tcPr>
            <w:tcW w:w="4677" w:type="dxa"/>
            <w:gridSpan w:val="2"/>
            <w:noWrap w:val="0"/>
            <w:tcMar>
              <w:left w:w="108" w:type="dxa"/>
              <w:right w:w="108" w:type="dxa"/>
            </w:tcMar>
            <w:vAlign w:val="center"/>
          </w:tcPr>
          <w:p>
            <w:pPr>
              <w:widowControl/>
              <w:spacing w:line="300" w:lineRule="exact"/>
              <w:rPr>
                <w:rFonts w:ascii="黑体" w:hAnsi="黑体" w:eastAsia="黑体"/>
                <w:kern w:val="0"/>
                <w:szCs w:val="21"/>
              </w:rPr>
            </w:pPr>
            <w:r>
              <w:rPr>
                <w:rFonts w:hint="eastAsia" w:ascii="黑体" w:hAnsi="黑体" w:eastAsia="黑体"/>
                <w:kern w:val="0"/>
                <w:szCs w:val="21"/>
              </w:rPr>
              <w:t>（七）总计</w:t>
            </w:r>
          </w:p>
        </w:tc>
        <w:tc>
          <w:tcPr>
            <w:tcW w:w="829"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13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093" w:type="dxa"/>
            <w:gridSpan w:val="3"/>
            <w:noWrap w:val="0"/>
            <w:tcMar>
              <w:left w:w="108" w:type="dxa"/>
              <w:right w:w="108" w:type="dxa"/>
            </w:tcMar>
            <w:vAlign w:val="center"/>
          </w:tcPr>
          <w:p>
            <w:pPr>
              <w:widowControl/>
              <w:spacing w:line="300" w:lineRule="exact"/>
              <w:rPr>
                <w:rFonts w:ascii="黑体" w:hAnsi="黑体" w:eastAsia="黑体"/>
                <w:kern w:val="0"/>
                <w:szCs w:val="21"/>
              </w:rPr>
            </w:pPr>
            <w:r>
              <w:rPr>
                <w:rFonts w:hint="eastAsia" w:ascii="黑体" w:hAnsi="黑体" w:eastAsia="黑体"/>
                <w:kern w:val="0"/>
                <w:szCs w:val="21"/>
              </w:rPr>
              <w:t>四、结转下年度继续办理</w:t>
            </w:r>
          </w:p>
        </w:tc>
        <w:tc>
          <w:tcPr>
            <w:tcW w:w="829"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line="200" w:lineRule="exact"/>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31"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708"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567" w:type="dxa"/>
            <w:noWrap w:val="0"/>
            <w:tcMar>
              <w:left w:w="108" w:type="dxa"/>
              <w:right w:w="108" w:type="dxa"/>
            </w:tcMar>
            <w:vAlign w:val="center"/>
          </w:tcPr>
          <w:p>
            <w:pPr>
              <w:widowControl/>
              <w:spacing w:after="180"/>
              <w:jc w:val="center"/>
              <w:rPr>
                <w:rFonts w:ascii="仿宋_GB2312" w:hAnsi="Times New Roman" w:eastAsia="仿宋_GB2312"/>
                <w:szCs w:val="21"/>
              </w:rPr>
            </w:pPr>
          </w:p>
        </w:tc>
        <w:tc>
          <w:tcPr>
            <w:tcW w:w="851" w:type="dxa"/>
            <w:noWrap w:val="0"/>
            <w:tcMar>
              <w:left w:w="108" w:type="dxa"/>
              <w:right w:w="108" w:type="dxa"/>
            </w:tcMar>
            <w:vAlign w:val="center"/>
          </w:tcPr>
          <w:p>
            <w:pPr>
              <w:widowControl/>
              <w:spacing w:after="180"/>
              <w:jc w:val="center"/>
              <w:rPr>
                <w:rFonts w:ascii="仿宋_GB2312" w:hAnsi="Times New Roman" w:eastAsia="仿宋_GB2312"/>
                <w:szCs w:val="21"/>
              </w:rPr>
            </w:pPr>
          </w:p>
        </w:tc>
      </w:tr>
    </w:tbl>
    <w:p>
      <w:pPr>
        <w:pStyle w:val="2"/>
        <w:numPr>
          <w:ilvl w:val="0"/>
          <w:numId w:val="0"/>
        </w:numPr>
        <w:ind w:leftChars="200"/>
        <w:jc w:val="center"/>
      </w:pPr>
    </w:p>
    <w:p>
      <w:pPr>
        <w:keepNext w:val="0"/>
        <w:keepLines w:val="0"/>
        <w:pageBreakBefore w:val="0"/>
        <w:widowControl/>
        <w:numPr>
          <w:ilvl w:val="0"/>
          <w:numId w:val="1"/>
        </w:numPr>
        <w:kinsoku/>
        <w:wordWrap/>
        <w:overflowPunct/>
        <w:topLinePunct w:val="0"/>
        <w:autoSpaceDE/>
        <w:autoSpaceDN/>
        <w:bidi w:val="0"/>
        <w:adjustRightInd/>
        <w:snapToGrid/>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因政府信息公开工作被申请行政复议</w:t>
      </w:r>
      <w:r>
        <w:rPr>
          <w:rFonts w:hint="eastAsia" w:ascii="黑体" w:hAnsi="黑体" w:eastAsia="黑体" w:cs="宋体"/>
          <w:color w:val="000000"/>
          <w:kern w:val="0"/>
          <w:sz w:val="32"/>
          <w:szCs w:val="32"/>
          <w:lang w:eastAsia="zh-CN"/>
        </w:rPr>
        <w:t>、</w:t>
      </w:r>
      <w:r>
        <w:rPr>
          <w:rFonts w:hint="eastAsia" w:ascii="黑体" w:hAnsi="黑体" w:eastAsia="黑体" w:cs="宋体"/>
          <w:color w:val="000000"/>
          <w:kern w:val="0"/>
          <w:sz w:val="32"/>
          <w:szCs w:val="32"/>
        </w:rPr>
        <w:t>提起行政诉讼情况</w:t>
      </w:r>
    </w:p>
    <w:tbl>
      <w:tblPr>
        <w:tblStyle w:val="8"/>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97" w:hRule="atLeast"/>
          <w:jc w:val="center"/>
        </w:trPr>
        <w:tc>
          <w:tcPr>
            <w:tcW w:w="3074"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行政复议</w:t>
            </w:r>
          </w:p>
        </w:tc>
        <w:tc>
          <w:tcPr>
            <w:tcW w:w="5997" w:type="dxa"/>
            <w:gridSpan w:val="10"/>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7" w:hRule="atLeast"/>
          <w:jc w:val="center"/>
        </w:trPr>
        <w:tc>
          <w:tcPr>
            <w:tcW w:w="604"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ind w:left="-149" w:leftChars="-71" w:right="-170" w:rightChars="-81"/>
              <w:jc w:val="center"/>
              <w:rPr>
                <w:rFonts w:ascii="黑体" w:hAnsi="黑体" w:eastAsia="黑体"/>
                <w:kern w:val="0"/>
                <w:sz w:val="20"/>
                <w:szCs w:val="20"/>
              </w:rPr>
            </w:pPr>
            <w:r>
              <w:rPr>
                <w:rFonts w:ascii="黑体" w:hAnsi="黑体" w:eastAsia="黑体"/>
                <w:kern w:val="0"/>
                <w:sz w:val="20"/>
                <w:szCs w:val="20"/>
              </w:rPr>
              <w:t>结果</w:t>
            </w:r>
          </w:p>
          <w:p>
            <w:pPr>
              <w:widowControl/>
              <w:ind w:left="-149" w:leftChars="-71" w:right="-170" w:rightChars="-81"/>
              <w:jc w:val="center"/>
              <w:rPr>
                <w:rFonts w:ascii="黑体" w:hAnsi="黑体" w:eastAsia="黑体"/>
              </w:rPr>
            </w:pPr>
            <w:r>
              <w:rPr>
                <w:rFonts w:ascii="黑体" w:hAnsi="黑体" w:eastAsia="黑体"/>
                <w:kern w:val="0"/>
                <w:sz w:val="20"/>
                <w:szCs w:val="20"/>
              </w:rPr>
              <w:t>维持</w:t>
            </w:r>
          </w:p>
        </w:tc>
        <w:tc>
          <w:tcPr>
            <w:tcW w:w="604" w:type="dxa"/>
            <w:vMerge w:val="restart"/>
            <w:tcBorders>
              <w:top w:val="nil"/>
              <w:left w:val="nil"/>
              <w:bottom w:val="single" w:color="auto" w:sz="8" w:space="0"/>
              <w:right w:val="single" w:color="auto" w:sz="8" w:space="0"/>
            </w:tcBorders>
            <w:noWrap w:val="0"/>
            <w:tcMar>
              <w:left w:w="108" w:type="dxa"/>
              <w:right w:w="108" w:type="dxa"/>
            </w:tcMar>
            <w:vAlign w:val="center"/>
          </w:tcPr>
          <w:p>
            <w:pPr>
              <w:widowControl/>
              <w:ind w:left="-43" w:leftChars="-21" w:right="-132" w:rightChars="-63" w:hanging="1"/>
              <w:jc w:val="center"/>
              <w:rPr>
                <w:rFonts w:ascii="黑体" w:hAnsi="黑体" w:eastAsia="黑体"/>
              </w:rPr>
            </w:pPr>
            <w:r>
              <w:rPr>
                <w:rFonts w:ascii="黑体" w:hAnsi="黑体" w:eastAsia="黑体"/>
                <w:kern w:val="0"/>
                <w:sz w:val="20"/>
                <w:szCs w:val="20"/>
              </w:rPr>
              <w:t>结果纠正</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82" w:leftChars="-39" w:right="-97" w:rightChars="-46"/>
              <w:jc w:val="center"/>
              <w:rPr>
                <w:rFonts w:ascii="黑体" w:hAnsi="黑体" w:eastAsia="黑体"/>
              </w:rPr>
            </w:pPr>
            <w:r>
              <w:rPr>
                <w:rFonts w:ascii="黑体" w:hAnsi="黑体" w:eastAsia="黑体"/>
                <w:kern w:val="0"/>
                <w:sz w:val="20"/>
                <w:szCs w:val="20"/>
              </w:rPr>
              <w:t>其他结果</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18" w:leftChars="-56" w:right="-118" w:rightChars="-56"/>
              <w:jc w:val="center"/>
              <w:rPr>
                <w:rFonts w:ascii="黑体" w:hAnsi="黑体" w:eastAsia="黑体"/>
                <w:kern w:val="0"/>
                <w:sz w:val="20"/>
                <w:szCs w:val="20"/>
              </w:rPr>
            </w:pPr>
            <w:r>
              <w:rPr>
                <w:rFonts w:ascii="黑体" w:hAnsi="黑体" w:eastAsia="黑体"/>
                <w:kern w:val="0"/>
                <w:sz w:val="20"/>
                <w:szCs w:val="20"/>
              </w:rPr>
              <w:t>尚未</w:t>
            </w:r>
          </w:p>
          <w:p>
            <w:pPr>
              <w:widowControl/>
              <w:ind w:left="-118" w:leftChars="-56" w:right="-118" w:rightChars="-56"/>
              <w:jc w:val="center"/>
              <w:rPr>
                <w:rFonts w:ascii="黑体" w:hAnsi="黑体" w:eastAsia="黑体"/>
              </w:rPr>
            </w:pPr>
            <w:r>
              <w:rPr>
                <w:rFonts w:ascii="黑体" w:hAnsi="黑体" w:eastAsia="黑体"/>
                <w:kern w:val="0"/>
                <w:sz w:val="20"/>
                <w:szCs w:val="20"/>
              </w:rPr>
              <w:t>审结</w:t>
            </w:r>
          </w:p>
        </w:tc>
        <w:tc>
          <w:tcPr>
            <w:tcW w:w="658"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spacing w:line="320" w:lineRule="exact"/>
              <w:jc w:val="center"/>
              <w:rPr>
                <w:rFonts w:ascii="黑体" w:hAnsi="黑体" w:eastAsia="黑体"/>
                <w:kern w:val="0"/>
                <w:sz w:val="20"/>
                <w:szCs w:val="20"/>
              </w:rPr>
            </w:pPr>
            <w:r>
              <w:rPr>
                <w:rFonts w:ascii="黑体" w:hAnsi="黑体" w:eastAsia="黑体"/>
                <w:kern w:val="0"/>
                <w:sz w:val="20"/>
                <w:szCs w:val="20"/>
              </w:rPr>
              <w:t>总</w:t>
            </w:r>
          </w:p>
          <w:p>
            <w:pPr>
              <w:widowControl/>
              <w:spacing w:line="320" w:lineRule="exact"/>
              <w:jc w:val="center"/>
              <w:rPr>
                <w:rFonts w:ascii="黑体" w:hAnsi="黑体" w:eastAsia="黑体"/>
              </w:rPr>
            </w:pPr>
            <w:r>
              <w:rPr>
                <w:rFonts w:ascii="黑体" w:hAnsi="黑体" w:eastAsia="黑体"/>
                <w:kern w:val="0"/>
                <w:sz w:val="20"/>
                <w:szCs w:val="20"/>
              </w:rPr>
              <w:t>计</w:t>
            </w:r>
          </w:p>
        </w:tc>
        <w:tc>
          <w:tcPr>
            <w:tcW w:w="2970"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未经复议直接起诉</w:t>
            </w:r>
          </w:p>
        </w:tc>
        <w:tc>
          <w:tcPr>
            <w:tcW w:w="3027"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bookmarkStart w:id="9" w:name="_Hlk67039688"/>
            <w:r>
              <w:rPr>
                <w:rFonts w:ascii="黑体" w:hAnsi="黑体" w:eastAsia="黑体"/>
                <w:kern w:val="0"/>
                <w:sz w:val="20"/>
                <w:szCs w:val="20"/>
              </w:rPr>
              <w:t>复议后起诉</w:t>
            </w:r>
            <w:bookmarkEnd w:id="9"/>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6" w:hRule="atLeast"/>
          <w:jc w:val="center"/>
        </w:trPr>
        <w:tc>
          <w:tcPr>
            <w:tcW w:w="604"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604" w:type="dxa"/>
            <w:vMerge w:val="continue"/>
            <w:tcBorders>
              <w:top w:val="nil"/>
              <w:left w:val="nil"/>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658"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550" w:type="dxa"/>
            <w:tcBorders>
              <w:top w:val="nil"/>
              <w:left w:val="nil"/>
              <w:bottom w:val="single" w:color="auto" w:sz="8" w:space="0"/>
              <w:right w:val="single" w:color="auto" w:sz="8" w:space="0"/>
            </w:tcBorders>
            <w:noWrap w:val="0"/>
            <w:tcMar>
              <w:left w:w="108" w:type="dxa"/>
              <w:right w:w="108" w:type="dxa"/>
            </w:tcMar>
            <w:vAlign w:val="center"/>
          </w:tcPr>
          <w:p>
            <w:pPr>
              <w:widowControl/>
              <w:ind w:left="-105" w:leftChars="-50" w:right="-126" w:rightChars="-60"/>
              <w:jc w:val="center"/>
              <w:rPr>
                <w:rFonts w:ascii="黑体" w:hAnsi="黑体" w:eastAsia="黑体"/>
              </w:rPr>
            </w:pPr>
            <w:r>
              <w:rPr>
                <w:rFonts w:ascii="黑体" w:hAnsi="黑体" w:eastAsia="黑体"/>
                <w:kern w:val="0"/>
                <w:sz w:val="20"/>
                <w:szCs w:val="20"/>
              </w:rPr>
              <w:t>结果维持</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ind w:left="-86" w:leftChars="-41" w:right="-88" w:rightChars="-42"/>
              <w:jc w:val="center"/>
              <w:rPr>
                <w:rFonts w:ascii="黑体" w:hAnsi="黑体" w:eastAsia="黑体"/>
              </w:rPr>
            </w:pPr>
            <w:r>
              <w:rPr>
                <w:rFonts w:ascii="黑体" w:hAnsi="黑体" w:eastAsia="黑体"/>
                <w:kern w:val="0"/>
                <w:sz w:val="20"/>
                <w:szCs w:val="20"/>
              </w:rPr>
              <w:t>结果纠正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26" w:leftChars="-60" w:right="-136" w:rightChars="-65"/>
              <w:jc w:val="center"/>
              <w:rPr>
                <w:rFonts w:ascii="黑体" w:hAnsi="黑体" w:eastAsia="黑体"/>
                <w:kern w:val="0"/>
                <w:sz w:val="20"/>
                <w:szCs w:val="20"/>
              </w:rPr>
            </w:pPr>
            <w:r>
              <w:rPr>
                <w:rFonts w:ascii="黑体" w:hAnsi="黑体" w:eastAsia="黑体"/>
                <w:kern w:val="0"/>
                <w:sz w:val="20"/>
                <w:szCs w:val="20"/>
              </w:rPr>
              <w:t>其他</w:t>
            </w:r>
          </w:p>
          <w:p>
            <w:pPr>
              <w:widowControl/>
              <w:ind w:left="-126" w:leftChars="-60" w:right="-136" w:rightChars="-65"/>
              <w:jc w:val="center"/>
              <w:rPr>
                <w:rFonts w:ascii="黑体" w:hAnsi="黑体" w:eastAsia="黑体"/>
              </w:rPr>
            </w:pPr>
            <w:r>
              <w:rPr>
                <w:rFonts w:ascii="黑体" w:hAnsi="黑体" w:eastAsia="黑体"/>
                <w:kern w:val="0"/>
                <w:sz w:val="20"/>
                <w:szCs w:val="20"/>
              </w:rPr>
              <w:t>结果</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64" w:leftChars="-78" w:right="-153" w:rightChars="-73"/>
              <w:jc w:val="center"/>
              <w:rPr>
                <w:rFonts w:ascii="黑体" w:hAnsi="黑体" w:eastAsia="黑体"/>
                <w:kern w:val="0"/>
                <w:sz w:val="20"/>
                <w:szCs w:val="20"/>
              </w:rPr>
            </w:pPr>
            <w:r>
              <w:rPr>
                <w:rFonts w:ascii="黑体" w:hAnsi="黑体" w:eastAsia="黑体"/>
                <w:kern w:val="0"/>
                <w:sz w:val="20"/>
                <w:szCs w:val="20"/>
              </w:rPr>
              <w:t>尚未</w:t>
            </w:r>
          </w:p>
          <w:p>
            <w:pPr>
              <w:widowControl/>
              <w:ind w:left="-164" w:leftChars="-78" w:right="-153" w:rightChars="-73"/>
              <w:jc w:val="center"/>
              <w:rPr>
                <w:rFonts w:ascii="黑体" w:hAnsi="黑体" w:eastAsia="黑体"/>
              </w:rPr>
            </w:pPr>
            <w:r>
              <w:rPr>
                <w:rFonts w:ascii="黑体" w:hAnsi="黑体" w:eastAsia="黑体"/>
                <w:kern w:val="0"/>
                <w:sz w:val="20"/>
                <w:szCs w:val="20"/>
              </w:rPr>
              <w:t>审结</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总计</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99" w:leftChars="-47" w:right="-78" w:rightChars="-37"/>
              <w:jc w:val="center"/>
              <w:rPr>
                <w:rFonts w:ascii="黑体" w:hAnsi="黑体" w:eastAsia="黑体"/>
              </w:rPr>
            </w:pPr>
            <w:r>
              <w:rPr>
                <w:rFonts w:ascii="黑体" w:hAnsi="黑体" w:eastAsia="黑体"/>
                <w:kern w:val="0"/>
                <w:sz w:val="20"/>
                <w:szCs w:val="20"/>
              </w:rPr>
              <w:t>结果维持</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36" w:leftChars="-65" w:right="-124" w:rightChars="-59"/>
              <w:jc w:val="center"/>
              <w:rPr>
                <w:rFonts w:ascii="黑体" w:hAnsi="黑体" w:eastAsia="黑体"/>
                <w:kern w:val="0"/>
                <w:sz w:val="20"/>
                <w:szCs w:val="20"/>
              </w:rPr>
            </w:pPr>
            <w:r>
              <w:rPr>
                <w:rFonts w:ascii="黑体" w:hAnsi="黑体" w:eastAsia="黑体"/>
                <w:kern w:val="0"/>
                <w:sz w:val="20"/>
                <w:szCs w:val="20"/>
              </w:rPr>
              <w:t>结果</w:t>
            </w:r>
          </w:p>
          <w:p>
            <w:pPr>
              <w:widowControl/>
              <w:ind w:left="-136" w:leftChars="-65" w:right="-124" w:rightChars="-59"/>
              <w:jc w:val="center"/>
              <w:rPr>
                <w:rFonts w:ascii="黑体" w:hAnsi="黑体" w:eastAsia="黑体"/>
              </w:rPr>
            </w:pPr>
            <w:r>
              <w:rPr>
                <w:rFonts w:ascii="黑体" w:hAnsi="黑体" w:eastAsia="黑体"/>
                <w:kern w:val="0"/>
                <w:sz w:val="20"/>
                <w:szCs w:val="20"/>
              </w:rPr>
              <w:t>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73" w:leftChars="-83" w:right="-134" w:rightChars="-64" w:hanging="1"/>
              <w:jc w:val="center"/>
              <w:rPr>
                <w:rFonts w:ascii="黑体" w:hAnsi="黑体" w:eastAsia="黑体"/>
                <w:kern w:val="0"/>
                <w:sz w:val="20"/>
                <w:szCs w:val="20"/>
              </w:rPr>
            </w:pPr>
            <w:r>
              <w:rPr>
                <w:rFonts w:ascii="黑体" w:hAnsi="黑体" w:eastAsia="黑体"/>
                <w:kern w:val="0"/>
                <w:sz w:val="20"/>
                <w:szCs w:val="20"/>
              </w:rPr>
              <w:t>其他</w:t>
            </w:r>
          </w:p>
          <w:p>
            <w:pPr>
              <w:widowControl/>
              <w:ind w:left="-173" w:leftChars="-83" w:right="-134" w:rightChars="-64" w:hanging="1"/>
              <w:jc w:val="center"/>
              <w:rPr>
                <w:rFonts w:ascii="黑体" w:hAnsi="黑体" w:eastAsia="黑体"/>
              </w:rPr>
            </w:pPr>
            <w:r>
              <w:rPr>
                <w:rFonts w:ascii="黑体" w:hAnsi="黑体" w:eastAsia="黑体"/>
                <w:kern w:val="0"/>
                <w:sz w:val="20"/>
                <w:szCs w:val="20"/>
              </w:rPr>
              <w:t>结果</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67" w:leftChars="-33" w:right="-105" w:rightChars="-50" w:hanging="2" w:hangingChars="1"/>
              <w:jc w:val="center"/>
              <w:rPr>
                <w:rFonts w:ascii="黑体" w:hAnsi="黑体" w:eastAsia="黑体"/>
              </w:rPr>
            </w:pPr>
            <w:r>
              <w:rPr>
                <w:rFonts w:ascii="黑体" w:hAnsi="黑体" w:eastAsia="黑体"/>
                <w:kern w:val="0"/>
                <w:sz w:val="20"/>
                <w:szCs w:val="20"/>
              </w:rPr>
              <w:t>尚未审结</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cstheme="minorBidi"/>
                <w:kern w:val="2"/>
                <w:sz w:val="21"/>
                <w:szCs w:val="22"/>
                <w:lang w:val="en-US" w:eastAsia="zh-CN" w:bidi="ar-SA"/>
              </w:rPr>
            </w:pPr>
            <w:r>
              <w:rPr>
                <w:rFonts w:hint="eastAsia" w:ascii="Times New Roman" w:hAnsi="Times New Roman"/>
                <w:lang w:val="en-US" w:eastAsia="zh-CN"/>
              </w:rPr>
              <w:t>1</w:t>
            </w:r>
          </w:p>
        </w:tc>
        <w:tc>
          <w:tcPr>
            <w:tcW w:w="604"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cstheme="minorBidi"/>
                <w:kern w:val="2"/>
                <w:sz w:val="21"/>
                <w:szCs w:val="22"/>
                <w:lang w:val="en-US" w:eastAsia="zh-CN" w:bidi="ar-SA"/>
              </w:rPr>
            </w:pPr>
            <w:r>
              <w:rPr>
                <w:rFonts w:hint="eastAsia" w:ascii="Times New Roman" w:hAnsi="Times New Roman"/>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cstheme="minorBidi"/>
                <w:kern w:val="2"/>
                <w:sz w:val="21"/>
                <w:szCs w:val="22"/>
                <w:lang w:val="en-US" w:eastAsia="zh-CN" w:bidi="ar-SA"/>
              </w:rPr>
            </w:pPr>
            <w:r>
              <w:rPr>
                <w:rFonts w:hint="eastAsia" w:ascii="Times New Roman" w:hAnsi="Times New Roman"/>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cstheme="minorBidi"/>
                <w:kern w:val="2"/>
                <w:sz w:val="21"/>
                <w:szCs w:val="22"/>
                <w:lang w:val="en-US" w:eastAsia="zh-CN" w:bidi="ar-SA"/>
              </w:rPr>
            </w:pPr>
            <w:r>
              <w:rPr>
                <w:rFonts w:hint="eastAsia" w:ascii="Times New Roman" w:hAnsi="Times New Roman"/>
                <w:lang w:val="en-US" w:eastAsia="zh-CN"/>
              </w:rPr>
              <w:t>0</w:t>
            </w:r>
          </w:p>
        </w:tc>
        <w:tc>
          <w:tcPr>
            <w:tcW w:w="658"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cstheme="minorBidi"/>
                <w:kern w:val="2"/>
                <w:sz w:val="21"/>
                <w:szCs w:val="22"/>
                <w:lang w:val="en-US" w:eastAsia="zh-CN" w:bidi="ar-SA"/>
              </w:rPr>
            </w:pPr>
            <w:r>
              <w:rPr>
                <w:rFonts w:hint="eastAsia" w:ascii="Times New Roman" w:hAnsi="Times New Roman"/>
                <w:lang w:val="en-US" w:eastAsia="zh-CN"/>
              </w:rPr>
              <w:t>1</w:t>
            </w:r>
          </w:p>
        </w:tc>
        <w:tc>
          <w:tcPr>
            <w:tcW w:w="550"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cstheme="minorBidi"/>
                <w:kern w:val="2"/>
                <w:sz w:val="21"/>
                <w:szCs w:val="22"/>
                <w:lang w:val="en-US" w:eastAsia="zh-CN" w:bidi="ar-SA"/>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cstheme="minorBidi"/>
                <w:kern w:val="2"/>
                <w:sz w:val="21"/>
                <w:szCs w:val="22"/>
                <w:lang w:val="en-US" w:eastAsia="zh-CN" w:bidi="ar-SA"/>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cstheme="minorBidi"/>
                <w:kern w:val="2"/>
                <w:sz w:val="21"/>
                <w:szCs w:val="22"/>
                <w:lang w:val="en-US" w:eastAsia="zh-CN" w:bidi="ar-SA"/>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cstheme="minorBidi"/>
                <w:kern w:val="2"/>
                <w:sz w:val="21"/>
                <w:szCs w:val="22"/>
                <w:lang w:val="en-US" w:eastAsia="zh-CN" w:bidi="ar-SA"/>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cstheme="minorBidi"/>
                <w:kern w:val="2"/>
                <w:sz w:val="21"/>
                <w:szCs w:val="22"/>
                <w:lang w:val="en-US" w:eastAsia="zh-CN" w:bidi="ar-SA"/>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rPr>
                <w:rFonts w:hint="default" w:ascii="Times New Roman" w:hAnsi="Times New Roman" w:eastAsiaTheme="minorEastAsia" w:cstheme="minorBidi"/>
                <w:kern w:val="2"/>
                <w:sz w:val="21"/>
                <w:szCs w:val="22"/>
                <w:lang w:val="en-US" w:eastAsia="zh-CN" w:bidi="ar-SA"/>
              </w:rPr>
            </w:pPr>
            <w:r>
              <w:rPr>
                <w:rFonts w:hint="eastAsia" w:ascii="Times New Roman" w:hAnsi="Times New Roman"/>
                <w:lang w:val="en-US" w:eastAsia="zh-CN"/>
              </w:rPr>
              <w:t xml:space="preserve">  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cstheme="minorBidi"/>
                <w:kern w:val="2"/>
                <w:sz w:val="21"/>
                <w:szCs w:val="22"/>
                <w:lang w:val="en-US" w:eastAsia="zh-CN" w:bidi="ar-SA"/>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cstheme="minorBidi"/>
                <w:kern w:val="2"/>
                <w:sz w:val="21"/>
                <w:szCs w:val="22"/>
                <w:lang w:val="en-US" w:eastAsia="zh-CN" w:bidi="ar-SA"/>
              </w:rPr>
            </w:pPr>
            <w:r>
              <w:rPr>
                <w:rFonts w:hint="eastAsia" w:ascii="Times New Roman" w:hAnsi="Times New Roman"/>
                <w:lang w:val="en-US" w:eastAsia="zh-CN"/>
              </w:rPr>
              <w:t>0</w:t>
            </w:r>
          </w:p>
        </w:tc>
        <w:tc>
          <w:tcPr>
            <w:tcW w:w="606"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cstheme="minorBidi"/>
                <w:kern w:val="2"/>
                <w:sz w:val="21"/>
                <w:szCs w:val="22"/>
                <w:lang w:val="en-US" w:eastAsia="zh-CN" w:bidi="ar-SA"/>
              </w:rPr>
            </w:pPr>
            <w:r>
              <w:rPr>
                <w:rFonts w:hint="eastAsia" w:ascii="Times New Roman" w:hAnsi="Times New Roman"/>
                <w:lang w:val="en-US" w:eastAsia="zh-CN"/>
              </w:rPr>
              <w:t>0</w:t>
            </w:r>
          </w:p>
        </w:tc>
        <w:tc>
          <w:tcPr>
            <w:tcW w:w="606"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Theme="minorEastAsia" w:cstheme="minorBidi"/>
                <w:kern w:val="2"/>
                <w:sz w:val="21"/>
                <w:szCs w:val="22"/>
                <w:lang w:val="en-US" w:eastAsia="zh-CN" w:bidi="ar-SA"/>
              </w:rPr>
            </w:pPr>
            <w:r>
              <w:rPr>
                <w:rFonts w:hint="eastAsia" w:ascii="Times New Roman" w:hAnsi="Times New Roman"/>
                <w:lang w:val="en-US" w:eastAsia="zh-CN"/>
              </w:rPr>
              <w:t>0</w:t>
            </w:r>
          </w:p>
        </w:tc>
      </w:tr>
    </w:tbl>
    <w:p>
      <w:pPr>
        <w:widowControl/>
        <w:jc w:val="left"/>
        <w:rPr>
          <w:rFonts w:ascii="宋体" w:hAnsi="宋体" w:eastAsia="宋体" w:cs="宋体"/>
          <w:color w:val="000000"/>
          <w:kern w:val="0"/>
          <w:sz w:val="20"/>
          <w:szCs w:val="20"/>
        </w:rPr>
      </w:pPr>
    </w:p>
    <w:p>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ascii="黑体" w:hAnsi="黑体" w:eastAsia="黑体" w:cs="宋体"/>
          <w:color w:val="000000"/>
          <w:kern w:val="0"/>
          <w:sz w:val="32"/>
          <w:szCs w:val="32"/>
        </w:rPr>
      </w:pPr>
      <w:r>
        <w:rPr>
          <w:rFonts w:hint="eastAsia" w:ascii="黑体" w:hAnsi="黑体" w:eastAsia="黑体" w:cs="宋体"/>
          <w:color w:val="000000"/>
          <w:kern w:val="0"/>
          <w:sz w:val="32"/>
          <w:szCs w:val="32"/>
        </w:rPr>
        <w:t>五、存在的主要问题及改进情况</w:t>
      </w:r>
    </w:p>
    <w:p>
      <w:pPr>
        <w:widowControl/>
        <w:ind w:firstLine="640" w:firstLineChars="200"/>
        <w:jc w:val="left"/>
        <w:rPr>
          <w:rFonts w:hint="eastAsia" w:ascii="仿宋_GB2312" w:hAnsi="黑体" w:eastAsia="仿宋_GB2312" w:cs="宋体"/>
          <w:color w:val="000000"/>
          <w:kern w:val="0"/>
          <w:sz w:val="32"/>
          <w:szCs w:val="32"/>
        </w:rPr>
      </w:pPr>
      <w:r>
        <w:rPr>
          <w:rFonts w:hint="eastAsia" w:ascii="仿宋_GB2312" w:hAnsi="黑体" w:eastAsia="仿宋_GB2312" w:cs="宋体"/>
          <w:color w:val="000000"/>
          <w:kern w:val="0"/>
          <w:sz w:val="32"/>
          <w:szCs w:val="32"/>
        </w:rPr>
        <w:t>针对滕州政务网个别栏目信息长时间未更新的问题，做到信息同步更新。下一步，将开展定期自查工作，及时完善缺失或更新不及时的信息，同时，进一步加大对局属事业单位信息工作的监督指导力度，定期抽查，协助整改，确保信息公开工作公开主动、表述准确、发布及时、查询方便。</w:t>
      </w:r>
    </w:p>
    <w:p>
      <w:pPr>
        <w:widowControl/>
        <w:ind w:firstLine="640" w:firstLineChars="200"/>
        <w:jc w:val="left"/>
      </w:pPr>
      <w:r>
        <w:rPr>
          <w:rFonts w:hint="eastAsia" w:ascii="黑体" w:hAnsi="黑体" w:eastAsia="黑体" w:cs="宋体"/>
          <w:color w:val="000000"/>
          <w:kern w:val="0"/>
          <w:sz w:val="32"/>
          <w:szCs w:val="32"/>
          <w:lang w:val="en-US" w:eastAsia="zh-CN"/>
        </w:rPr>
        <w:t>六、</w:t>
      </w:r>
      <w:r>
        <w:rPr>
          <w:rFonts w:hint="eastAsia" w:ascii="黑体" w:hAnsi="黑体" w:eastAsia="黑体" w:cs="宋体"/>
          <w:color w:val="000000"/>
          <w:kern w:val="0"/>
          <w:sz w:val="32"/>
          <w:szCs w:val="32"/>
        </w:rPr>
        <w:t>其他需要报告的事项</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w:t>
      </w:r>
      <w:r>
        <w:rPr>
          <w:rFonts w:hint="eastAsia" w:ascii="楷体" w:hAnsi="楷体" w:eastAsia="楷体" w:cs="楷体"/>
          <w:b/>
          <w:bCs/>
          <w:sz w:val="32"/>
          <w:szCs w:val="32"/>
          <w:lang w:val="en-US" w:eastAsia="zh-CN"/>
        </w:rPr>
        <w:t>一</w:t>
      </w:r>
      <w:r>
        <w:rPr>
          <w:rFonts w:hint="eastAsia" w:ascii="楷体" w:hAnsi="楷体" w:eastAsia="楷体" w:cs="楷体"/>
          <w:b/>
          <w:bCs/>
          <w:sz w:val="32"/>
          <w:szCs w:val="32"/>
        </w:rPr>
        <w:t>）人大代表建议和政协委员提案办理结果公开情况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行政审批服务局高度重视代表建议政协提案办理工作，严格落实市委市政府关于建议提案办理的有关要求，坚持办理答复必须做到合法合规合理合情。2021年共办理人大代表建议2件；政协委员提案3件，其中枣庄政协提案0件，滕州政协提案3件，主办5件，5件办理结果均主动公开。</w:t>
      </w:r>
    </w:p>
    <w:p>
      <w:pPr>
        <w:widowControl/>
        <w:ind w:firstLine="640" w:firstLineChars="200"/>
        <w:jc w:val="left"/>
        <w:rPr>
          <w:rFonts w:hint="eastAsia" w:ascii="仿宋_GB2312" w:hAnsi="黑体" w:eastAsia="仿宋_GB2312" w:cs="宋体"/>
          <w:color w:val="000000"/>
          <w:kern w:val="0"/>
          <w:sz w:val="32"/>
          <w:szCs w:val="32"/>
        </w:rPr>
      </w:pPr>
      <w:r>
        <w:rPr>
          <w:rFonts w:hint="eastAsia" w:ascii="仿宋_GB2312" w:hAnsi="黑体" w:eastAsia="仿宋_GB2312" w:cs="宋体"/>
          <w:color w:val="000000"/>
          <w:kern w:val="0"/>
          <w:sz w:val="32"/>
          <w:szCs w:val="32"/>
        </w:rPr>
        <w:t>本报告的电子版可在“滕州市政府信息公开网”（http://xxgk.tengzhou.gov.cn/）和“滕州市行政审批服务局”（http://www.tengzhou.gov.cn/zzq/zfbm/xzspfwj/）网站查询和下载。如对本报告有任何疑问，请与滕州市行政审批服务局联系（地址：滕州市北辛中路，滕州市政务服务中心，邮编：277599，电话：0632-5081887，传真：0632-5081887，电子邮箱：zwfwzx309@163.com。</w:t>
      </w:r>
    </w:p>
    <w:p>
      <w:pPr>
        <w:widowControl/>
        <w:ind w:firstLine="640" w:firstLineChars="200"/>
        <w:jc w:val="left"/>
        <w:rPr>
          <w:rFonts w:hint="eastAsia" w:ascii="仿宋_GB2312" w:hAnsi="黑体" w:eastAsia="仿宋_GB2312" w:cs="宋体"/>
          <w:color w:val="000000"/>
          <w:kern w:val="0"/>
          <w:sz w:val="32"/>
          <w:szCs w:val="32"/>
        </w:rPr>
      </w:pPr>
    </w:p>
    <w:p>
      <w:pPr>
        <w:widowControl/>
        <w:ind w:firstLine="640" w:firstLineChars="200"/>
        <w:jc w:val="right"/>
        <w:rPr>
          <w:rFonts w:hint="eastAsia" w:ascii="仿宋_GB2312" w:hAnsi="黑体" w:eastAsia="仿宋_GB2312" w:cs="宋体"/>
          <w:color w:val="000000"/>
          <w:kern w:val="0"/>
          <w:sz w:val="32"/>
          <w:szCs w:val="32"/>
          <w:lang w:val="en-US" w:eastAsia="zh-CN"/>
        </w:rPr>
      </w:pPr>
      <w:r>
        <w:rPr>
          <w:rFonts w:hint="eastAsia" w:ascii="仿宋_GB2312" w:hAnsi="黑体" w:eastAsia="仿宋_GB2312" w:cs="宋体"/>
          <w:color w:val="000000"/>
          <w:kern w:val="0"/>
          <w:sz w:val="32"/>
          <w:szCs w:val="32"/>
          <w:lang w:val="en-US" w:eastAsia="zh-CN"/>
        </w:rPr>
        <w:t>滕州市行政审批服务局</w:t>
      </w:r>
    </w:p>
    <w:p>
      <w:pPr>
        <w:widowControl/>
        <w:wordWrap w:val="0"/>
        <w:ind w:firstLine="640" w:firstLineChars="200"/>
        <w:jc w:val="right"/>
        <w:rPr>
          <w:rFonts w:hint="default" w:ascii="仿宋_GB2312" w:hAnsi="黑体" w:eastAsia="仿宋_GB2312" w:cs="宋体"/>
          <w:color w:val="000000"/>
          <w:kern w:val="0"/>
          <w:sz w:val="32"/>
          <w:szCs w:val="32"/>
          <w:lang w:val="en-US" w:eastAsia="zh-CN"/>
        </w:rPr>
      </w:pPr>
      <w:r>
        <w:rPr>
          <w:rFonts w:hint="eastAsia" w:ascii="仿宋_GB2312" w:hAnsi="黑体" w:eastAsia="仿宋_GB2312" w:cs="宋体"/>
          <w:color w:val="000000"/>
          <w:kern w:val="0"/>
          <w:sz w:val="32"/>
          <w:szCs w:val="32"/>
          <w:lang w:val="en-US" w:eastAsia="zh-CN"/>
        </w:rPr>
        <w:t xml:space="preserve">2022年1月10 日 </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decorative"/>
    <w:pitch w:val="default"/>
    <w:sig w:usb0="00000000" w:usb1="0000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Theme="minorEastAsia"/>
                              <w:sz w:val="21"/>
                              <w:szCs w:val="28"/>
                              <w:lang w:eastAsia="zh-CN"/>
                            </w:rPr>
                          </w:pPr>
                          <w:r>
                            <w:rPr>
                              <w:rFonts w:hint="eastAsia"/>
                              <w:sz w:val="21"/>
                              <w:szCs w:val="28"/>
                              <w:lang w:eastAsia="zh-CN"/>
                            </w:rPr>
                            <w:fldChar w:fldCharType="begin"/>
                          </w:r>
                          <w:r>
                            <w:rPr>
                              <w:rFonts w:hint="eastAsia"/>
                              <w:sz w:val="21"/>
                              <w:szCs w:val="28"/>
                              <w:lang w:eastAsia="zh-CN"/>
                            </w:rPr>
                            <w:instrText xml:space="preserve"> PAGE  \* MERGEFORMAT </w:instrText>
                          </w:r>
                          <w:r>
                            <w:rPr>
                              <w:rFonts w:hint="eastAsia"/>
                              <w:sz w:val="21"/>
                              <w:szCs w:val="28"/>
                              <w:lang w:eastAsia="zh-CN"/>
                            </w:rPr>
                            <w:fldChar w:fldCharType="separate"/>
                          </w:r>
                          <w:r>
                            <w:rPr>
                              <w:rFonts w:hint="eastAsia"/>
                              <w:sz w:val="21"/>
                              <w:szCs w:val="28"/>
                              <w:lang w:eastAsia="zh-CN"/>
                            </w:rPr>
                            <w:t>1</w:t>
                          </w:r>
                          <w:r>
                            <w:rPr>
                              <w:rFonts w:hint="eastAsia"/>
                              <w:sz w:val="21"/>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eastAsiaTheme="minorEastAsia"/>
                        <w:sz w:val="21"/>
                        <w:szCs w:val="28"/>
                        <w:lang w:eastAsia="zh-CN"/>
                      </w:rPr>
                    </w:pPr>
                    <w:r>
                      <w:rPr>
                        <w:rFonts w:hint="eastAsia"/>
                        <w:sz w:val="21"/>
                        <w:szCs w:val="28"/>
                        <w:lang w:eastAsia="zh-CN"/>
                      </w:rPr>
                      <w:fldChar w:fldCharType="begin"/>
                    </w:r>
                    <w:r>
                      <w:rPr>
                        <w:rFonts w:hint="eastAsia"/>
                        <w:sz w:val="21"/>
                        <w:szCs w:val="28"/>
                        <w:lang w:eastAsia="zh-CN"/>
                      </w:rPr>
                      <w:instrText xml:space="preserve"> PAGE  \* MERGEFORMAT </w:instrText>
                    </w:r>
                    <w:r>
                      <w:rPr>
                        <w:rFonts w:hint="eastAsia"/>
                        <w:sz w:val="21"/>
                        <w:szCs w:val="28"/>
                        <w:lang w:eastAsia="zh-CN"/>
                      </w:rPr>
                      <w:fldChar w:fldCharType="separate"/>
                    </w:r>
                    <w:r>
                      <w:rPr>
                        <w:rFonts w:hint="eastAsia"/>
                        <w:sz w:val="21"/>
                        <w:szCs w:val="28"/>
                        <w:lang w:eastAsia="zh-CN"/>
                      </w:rPr>
                      <w:t>1</w:t>
                    </w:r>
                    <w:r>
                      <w:rPr>
                        <w:rFonts w:hint="eastAsia"/>
                        <w:sz w:val="21"/>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3EC2FB"/>
    <w:multiLevelType w:val="singleLevel"/>
    <w:tmpl w:val="843EC2F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FA7206"/>
    <w:rsid w:val="00034EB6"/>
    <w:rsid w:val="01E728A6"/>
    <w:rsid w:val="020409C2"/>
    <w:rsid w:val="04381E22"/>
    <w:rsid w:val="05703695"/>
    <w:rsid w:val="05E66E4D"/>
    <w:rsid w:val="0E8D3722"/>
    <w:rsid w:val="0EA91CAA"/>
    <w:rsid w:val="12FC66FC"/>
    <w:rsid w:val="17FD07E0"/>
    <w:rsid w:val="19FA7206"/>
    <w:rsid w:val="1BBD52AF"/>
    <w:rsid w:val="1BD47D1C"/>
    <w:rsid w:val="1F3442DE"/>
    <w:rsid w:val="22203283"/>
    <w:rsid w:val="27473D11"/>
    <w:rsid w:val="2B624AF9"/>
    <w:rsid w:val="36A55B64"/>
    <w:rsid w:val="3F122578"/>
    <w:rsid w:val="48594CDF"/>
    <w:rsid w:val="497F5C4F"/>
    <w:rsid w:val="4C02698C"/>
    <w:rsid w:val="4C604A47"/>
    <w:rsid w:val="4CBF2408"/>
    <w:rsid w:val="4E7A2C2E"/>
    <w:rsid w:val="51BB10ED"/>
    <w:rsid w:val="54353DA3"/>
    <w:rsid w:val="551E25CC"/>
    <w:rsid w:val="55757A59"/>
    <w:rsid w:val="5AA8538D"/>
    <w:rsid w:val="622D5B8C"/>
    <w:rsid w:val="661F1BD3"/>
    <w:rsid w:val="6CA976D1"/>
    <w:rsid w:val="71020A84"/>
    <w:rsid w:val="710F5E6F"/>
    <w:rsid w:val="728E1843"/>
    <w:rsid w:val="7A2D2D26"/>
    <w:rsid w:val="7B890D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1"/>
    <w:qFormat/>
    <w:uiPriority w:val="0"/>
    <w:pPr>
      <w:keepNext/>
      <w:keepLines/>
      <w:spacing w:beforeLines="0" w:beforeAutospacing="0" w:afterLines="0" w:afterAutospacing="0" w:line="600" w:lineRule="exact"/>
      <w:ind w:firstLine="0" w:firstLineChars="0"/>
      <w:jc w:val="center"/>
      <w:outlineLvl w:val="0"/>
    </w:pPr>
    <w:rPr>
      <w:rFonts w:ascii="Times New Roman" w:hAnsi="Times New Roman" w:eastAsia="方正小标宋简体"/>
      <w:kern w:val="44"/>
      <w:sz w:val="44"/>
    </w:rPr>
  </w:style>
  <w:style w:type="paragraph" w:styleId="4">
    <w:name w:val="heading 2"/>
    <w:basedOn w:val="1"/>
    <w:next w:val="1"/>
    <w:semiHidden/>
    <w:unhideWhenUsed/>
    <w:qFormat/>
    <w:uiPriority w:val="0"/>
    <w:pPr>
      <w:keepNext/>
      <w:keepLines/>
      <w:spacing w:beforeLines="0" w:beforeAutospacing="0" w:afterLines="0" w:afterAutospacing="0" w:line="240" w:lineRule="auto"/>
      <w:ind w:firstLine="880" w:firstLineChars="200"/>
      <w:outlineLvl w:val="1"/>
    </w:pPr>
    <w:rPr>
      <w:rFonts w:ascii="Arial" w:hAnsi="Arial" w:eastAsia="黑体"/>
      <w:sz w:val="32"/>
      <w:szCs w:val="22"/>
    </w:rPr>
  </w:style>
  <w:style w:type="paragraph" w:styleId="5">
    <w:name w:val="heading 3"/>
    <w:basedOn w:val="1"/>
    <w:next w:val="1"/>
    <w:semiHidden/>
    <w:unhideWhenUsed/>
    <w:qFormat/>
    <w:uiPriority w:val="0"/>
    <w:pPr>
      <w:keepNext/>
      <w:keepLines/>
      <w:spacing w:beforeLines="0" w:beforeAutospacing="0" w:afterLines="0" w:afterAutospacing="0" w:line="240" w:lineRule="auto"/>
      <w:outlineLvl w:val="2"/>
    </w:pPr>
    <w:rPr>
      <w:rFonts w:eastAsia="楷体"/>
      <w:b/>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style>
  <w:style w:type="paragraph" w:styleId="6">
    <w:name w:val="footer"/>
    <w:basedOn w:val="1"/>
    <w:qFormat/>
    <w:uiPriority w:val="0"/>
    <w:pPr>
      <w:tabs>
        <w:tab w:val="center" w:pos="4153"/>
        <w:tab w:val="right" w:pos="8306"/>
      </w:tabs>
      <w:snapToGrid w:val="0"/>
      <w:jc w:val="left"/>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customStyle="1" w:styleId="11">
    <w:name w:val="标题 1 Char"/>
    <w:link w:val="3"/>
    <w:qFormat/>
    <w:uiPriority w:val="0"/>
    <w:rPr>
      <w:rFonts w:ascii="Times New Roman" w:hAnsi="Times New Roman" w:eastAsia="方正小标宋简体"/>
      <w:kern w:val="44"/>
      <w:sz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2021-01-19T02:43:00Z</dcterms:created>
  <dc:creator>小米Setariaitalica</dc:creator>
  <cp:lastModifiedBy>萧别离</cp:lastModifiedBy>
  <dcterms:modified xsi:type="dcterms:W3CDTF">2022-01-27T06:58:15Z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E690685AA0C54022BD836FEA33D4AAA2</vt:lpwstr>
  </property>
</Properties>
</file>