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240" w:line="195" w:lineRule="atLeast"/>
        <w:ind w:firstLine="634"/>
        <w:jc w:val="center"/>
        <w:rPr>
          <w:rFonts w:hint="eastAsia" w:ascii="方正公文小标宋" w:hAnsi="方正公文小标宋" w:eastAsia="方正公文小标宋" w:cs="方正公文小标宋"/>
          <w:color w:val="000000"/>
          <w:kern w:val="0"/>
          <w:sz w:val="44"/>
          <w:szCs w:val="44"/>
        </w:rPr>
      </w:pPr>
      <w:r>
        <w:rPr>
          <w:rFonts w:hint="eastAsia" w:ascii="方正公文小标宋" w:hAnsi="方正公文小标宋" w:eastAsia="方正公文小标宋" w:cs="方正公文小标宋"/>
          <w:color w:val="000000"/>
          <w:kern w:val="0"/>
          <w:sz w:val="44"/>
          <w:szCs w:val="44"/>
        </w:rPr>
        <w:t>滕州市退役军人事务局</w:t>
      </w:r>
      <w:r>
        <w:rPr>
          <w:rFonts w:hint="eastAsia" w:ascii="方正公文小标宋" w:hAnsi="方正公文小标宋" w:eastAsia="方正公文小标宋" w:cs="方正公文小标宋"/>
          <w:color w:val="000000"/>
          <w:kern w:val="0"/>
          <w:sz w:val="44"/>
          <w:szCs w:val="44"/>
        </w:rPr>
        <w:t>2020年政府信息公开工作年度报告</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仿宋" w:hAnsi="仿宋" w:eastAsia="仿宋" w:cs="Arial"/>
          <w:color w:val="000000"/>
          <w:kern w:val="0"/>
          <w:sz w:val="32"/>
          <w:szCs w:val="32"/>
        </w:rPr>
        <w:t>根据《中华人民共和国政府信息公开条例》、《国务院办公厅政府信息与政务公开办公室关于政府信息公开工作年度报告有关事项的通知》（国办公开办函〔2020〕60号）和《山东省政府信息公开办法》以及枣庄、滕州有关文件要求，结合我局实际，编制并向社会公布滕州市退役军人事务局2020年政府信息公开工作年度报告。本年度报告中所列数据的统计期限自2020年1月1日起，至2020年12月31日止。</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黑体" w:hAnsi="黑体" w:eastAsia="黑体" w:cs="黑体"/>
          <w:color w:val="000000"/>
          <w:kern w:val="0"/>
          <w:sz w:val="32"/>
          <w:szCs w:val="32"/>
        </w:rPr>
        <w:t>一、总体情况</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仿宋" w:hAnsi="仿宋" w:eastAsia="仿宋" w:cs="Arial"/>
          <w:color w:val="000000"/>
          <w:kern w:val="0"/>
          <w:sz w:val="32"/>
          <w:szCs w:val="32"/>
        </w:rPr>
        <w:t>2020年，滕州市退役军人事务局按照市委、市政府的统一部署，认真贯彻落实《中华人民共和国政府信息公开条例》和省、市关于政府信息公开工作的要求，紧扣本单位的工作实际，加强门户网站、政务新媒体信息公开力度，优化政务服务机制，提高工作效率，不断提升政府信息公开工作力度和实效，政府信息公开水平实现新的突破。</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宋体" w:hAnsi="宋体" w:eastAsia="宋体" w:cs="Arial"/>
          <w:color w:val="000000"/>
          <w:kern w:val="0"/>
          <w:sz w:val="32"/>
          <w:szCs w:val="32"/>
        </w:rPr>
        <w:t>（一）政府信息主动公开情况</w:t>
      </w:r>
    </w:p>
    <w:p>
      <w:pPr>
        <w:widowControl/>
        <w:spacing w:before="100" w:beforeAutospacing="1" w:line="720" w:lineRule="atLeast"/>
        <w:ind w:firstLine="634"/>
        <w:jc w:val="left"/>
        <w:rPr>
          <w:rFonts w:ascii="仿宋" w:hAnsi="仿宋" w:eastAsia="仿宋" w:cs="Arial"/>
          <w:color w:val="000000"/>
          <w:kern w:val="0"/>
          <w:sz w:val="32"/>
          <w:szCs w:val="32"/>
        </w:rPr>
      </w:pPr>
      <w:r>
        <w:rPr>
          <w:rFonts w:hint="eastAsia" w:ascii="仿宋" w:hAnsi="仿宋" w:eastAsia="仿宋" w:cs="Arial"/>
          <w:color w:val="000000"/>
          <w:kern w:val="0"/>
          <w:sz w:val="32"/>
          <w:szCs w:val="32"/>
        </w:rPr>
        <w:t>市退役军人事务局始终坚持“以公开为常态、不公开为例外”的原则，从聚焦中心工作加强信息公开、聚焦“六稳”“六保”工作加强政策解读回应等方面，持续深化退役军人事务领域政府信息公开，通过市政府信息公开专栏、局门户网站、微信公众号等多种渠道，主动做好政府信息主动公开工作。截止2020年12月31日，主动公开政府信息274条。其中，通过市政府信息公开专栏主动公开政府信息38条，通过局网站主动公开政府信息82条，通过微信公众号主动公开政府信息154条。</w:t>
      </w:r>
    </w:p>
    <w:p>
      <w:pPr>
        <w:widowControl/>
        <w:spacing w:before="100" w:beforeAutospacing="1" w:line="720" w:lineRule="atLeast"/>
        <w:ind w:firstLine="634"/>
        <w:jc w:val="left"/>
        <w:rPr>
          <w:rFonts w:ascii="Arial" w:hAnsi="Arial" w:eastAsia="宋体" w:cs="Arial"/>
          <w:color w:val="000000"/>
          <w:kern w:val="0"/>
          <w:sz w:val="20"/>
          <w:szCs w:val="20"/>
        </w:rPr>
      </w:pPr>
      <w:bookmarkStart w:id="0" w:name="_GoBack"/>
      <w:r>
        <w:rPr>
          <w:rFonts w:ascii="Arial" w:hAnsi="Arial" w:eastAsia="宋体" w:cs="Arial"/>
          <w:color w:val="000000"/>
          <w:kern w:val="0"/>
          <w:sz w:val="20"/>
          <w:szCs w:val="20"/>
        </w:rPr>
        <w:drawing>
          <wp:inline distT="0" distB="0" distL="0" distR="0">
            <wp:extent cx="5274310" cy="3537585"/>
            <wp:effectExtent l="0" t="0" r="2540" b="5715"/>
            <wp:docPr id="5" name="图片 4" descr="3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3333.png"/>
                    <pic:cNvPicPr>
                      <a:picLocks noChangeAspect="1"/>
                    </pic:cNvPicPr>
                  </pic:nvPicPr>
                  <pic:blipFill>
                    <a:blip r:embed="rId4"/>
                    <a:stretch>
                      <a:fillRect/>
                    </a:stretch>
                  </pic:blipFill>
                  <pic:spPr>
                    <a:xfrm>
                      <a:off x="0" y="0"/>
                      <a:ext cx="5274310" cy="3537585"/>
                    </a:xfrm>
                    <a:prstGeom prst="rect">
                      <a:avLst/>
                    </a:prstGeom>
                  </pic:spPr>
                </pic:pic>
              </a:graphicData>
            </a:graphic>
          </wp:inline>
        </w:drawing>
      </w:r>
      <w:bookmarkEnd w:id="0"/>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仿宋" w:hAnsi="仿宋" w:eastAsia="仿宋" w:cs="Arial"/>
          <w:color w:val="000000"/>
          <w:kern w:val="0"/>
          <w:sz w:val="32"/>
          <w:szCs w:val="32"/>
        </w:rPr>
        <w:t>1、及时公开机构概况。根据《中华人民共和国政府信息公开条例》第二十条第（二）款要求，及时更新机关职能、机构设置、办公地址、办公时间、联系方式等，并在市政府信息公开专栏和局机关网站公布。</w:t>
      </w:r>
    </w:p>
    <w:p>
      <w:pPr>
        <w:widowControl/>
        <w:spacing w:before="100" w:beforeAutospacing="1" w:line="720" w:lineRule="atLeast"/>
        <w:jc w:val="center"/>
        <w:rPr>
          <w:rFonts w:ascii="Arial" w:hAnsi="Arial" w:eastAsia="宋体" w:cs="Arial"/>
          <w:color w:val="000000"/>
          <w:kern w:val="0"/>
          <w:sz w:val="20"/>
          <w:szCs w:val="20"/>
        </w:rPr>
      </w:pPr>
      <w:r>
        <w:rPr>
          <w:rFonts w:ascii="Arial" w:hAnsi="Arial" w:eastAsia="宋体" w:cs="Arial"/>
          <w:color w:val="000000"/>
          <w:kern w:val="0"/>
          <w:sz w:val="20"/>
          <w:szCs w:val="20"/>
        </w:rPr>
        <w:drawing>
          <wp:inline distT="0" distB="0" distL="0" distR="0">
            <wp:extent cx="4772025" cy="2009775"/>
            <wp:effectExtent l="19050" t="0" r="9525" b="0"/>
            <wp:docPr id="2" name="图片 2" descr="http://172.20.24.4/webpic/W0202105/W020210524/W0202105245602455459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ttp://172.20.24.4/webpic/W0202105/W020210524/W020210524560245545960.png"/>
                    <pic:cNvPicPr>
                      <a:picLocks noChangeAspect="1" noChangeArrowheads="1"/>
                    </pic:cNvPicPr>
                  </pic:nvPicPr>
                  <pic:blipFill>
                    <a:blip r:embed="rId5"/>
                    <a:stretch>
                      <a:fillRect/>
                    </a:stretch>
                  </pic:blipFill>
                  <pic:spPr>
                    <a:xfrm>
                      <a:off x="0" y="0"/>
                      <a:ext cx="4772025" cy="2009775"/>
                    </a:xfrm>
                    <a:prstGeom prst="rect">
                      <a:avLst/>
                    </a:prstGeom>
                    <a:noFill/>
                    <a:ln w="9525">
                      <a:noFill/>
                      <a:miter lim="800000"/>
                      <a:headEnd/>
                      <a:tailEnd/>
                    </a:ln>
                  </pic:spPr>
                </pic:pic>
              </a:graphicData>
            </a:graphic>
          </wp:inline>
        </w:drawing>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仿宋" w:hAnsi="仿宋" w:eastAsia="仿宋" w:cs="Arial"/>
          <w:color w:val="000000"/>
          <w:kern w:val="0"/>
          <w:sz w:val="32"/>
          <w:szCs w:val="32"/>
        </w:rPr>
        <w:t>2、及时公开退役军人安置、就业领域信息。结合滕州市实际，及时公开发布退役军人安置、就业等方面的经办流程、政策制度等，细化公开内容，让公众看得懂。</w:t>
      </w:r>
    </w:p>
    <w:p>
      <w:pPr>
        <w:widowControl/>
        <w:spacing w:before="100" w:beforeAutospacing="1" w:line="720" w:lineRule="atLeast"/>
        <w:jc w:val="center"/>
        <w:rPr>
          <w:rFonts w:ascii="Arial" w:hAnsi="Arial" w:eastAsia="宋体" w:cs="Arial"/>
          <w:color w:val="000000"/>
          <w:kern w:val="0"/>
          <w:sz w:val="20"/>
          <w:szCs w:val="20"/>
        </w:rPr>
      </w:pPr>
      <w:r>
        <w:rPr>
          <w:rFonts w:ascii="Arial" w:hAnsi="Arial" w:eastAsia="宋体" w:cs="Arial"/>
          <w:color w:val="000000"/>
          <w:kern w:val="0"/>
          <w:sz w:val="20"/>
          <w:szCs w:val="20"/>
        </w:rPr>
        <w:drawing>
          <wp:inline distT="0" distB="0" distL="0" distR="0">
            <wp:extent cx="4843145" cy="3362325"/>
            <wp:effectExtent l="19050" t="0" r="0" b="0"/>
            <wp:docPr id="3" name="图片 3" descr="http://172.20.24.4/webpic/W0202105/W020210524/W020210524560245557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http://172.20.24.4/webpic/W0202105/W020210524/W020210524560245557203.png"/>
                    <pic:cNvPicPr>
                      <a:picLocks noChangeAspect="1" noChangeArrowheads="1"/>
                    </pic:cNvPicPr>
                  </pic:nvPicPr>
                  <pic:blipFill>
                    <a:blip r:embed="rId6"/>
                    <a:stretch>
                      <a:fillRect/>
                    </a:stretch>
                  </pic:blipFill>
                  <pic:spPr>
                    <a:xfrm>
                      <a:off x="0" y="0"/>
                      <a:ext cx="4843258" cy="3362325"/>
                    </a:xfrm>
                    <a:prstGeom prst="rect">
                      <a:avLst/>
                    </a:prstGeom>
                    <a:noFill/>
                    <a:ln w="9525">
                      <a:noFill/>
                      <a:miter lim="800000"/>
                      <a:headEnd/>
                      <a:tailEnd/>
                    </a:ln>
                  </pic:spPr>
                </pic:pic>
              </a:graphicData>
            </a:graphic>
          </wp:inline>
        </w:drawing>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仿宋" w:hAnsi="仿宋" w:eastAsia="仿宋" w:cs="Arial"/>
          <w:color w:val="000000"/>
          <w:kern w:val="0"/>
          <w:sz w:val="32"/>
          <w:szCs w:val="32"/>
        </w:rPr>
        <w:t>3、推进行政权力运行公开。一是动态公开政府工作报告进展情况。对政府工作报告中的退役军人重点工作，建立工作台账，在政府信息公开专栏主动公开，方便社会公众知晓。二是公开行政执法信息。公开行政执法主体、服务指南、行政处罚事项目录等，公布行政执法流程图，及时公示行政执法结果信息。</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楷体" w:hAnsi="楷体" w:eastAsia="楷体" w:cs="Arial"/>
          <w:color w:val="000000"/>
          <w:kern w:val="0"/>
          <w:sz w:val="32"/>
          <w:szCs w:val="32"/>
        </w:rPr>
        <w:t>（二）政府信息依申请公开情况</w:t>
      </w:r>
    </w:p>
    <w:p>
      <w:pPr>
        <w:pStyle w:val="5"/>
        <w:shd w:val="clear" w:color="auto" w:fill="FFFFFF"/>
        <w:spacing w:before="0" w:beforeAutospacing="0" w:after="0" w:afterAutospacing="0" w:line="630" w:lineRule="atLeast"/>
        <w:ind w:firstLine="630"/>
        <w:rPr>
          <w:rFonts w:ascii="Arial" w:hAnsi="Arial" w:cs="Arial"/>
          <w:color w:val="000000"/>
          <w:sz w:val="27"/>
          <w:szCs w:val="27"/>
        </w:rPr>
      </w:pPr>
      <w:r>
        <w:rPr>
          <w:rFonts w:hint="eastAsia" w:ascii="仿宋" w:hAnsi="仿宋" w:eastAsia="仿宋" w:cs="Arial"/>
          <w:color w:val="000000"/>
          <w:sz w:val="32"/>
          <w:szCs w:val="32"/>
        </w:rPr>
        <w:t>公开概况。2020年，滕州市退役军人事务局共受理0件政府信息公开申请，结转上年政府信息公开申请0件，均为自然人提交。</w:t>
      </w:r>
    </w:p>
    <w:p>
      <w:pPr>
        <w:pStyle w:val="5"/>
        <w:shd w:val="clear" w:color="auto" w:fill="FFFFFF"/>
        <w:spacing w:before="0" w:beforeAutospacing="0" w:after="0" w:afterAutospacing="0" w:line="630" w:lineRule="atLeast"/>
        <w:ind w:firstLine="630"/>
        <w:rPr>
          <w:rFonts w:ascii="Arial" w:hAnsi="Arial" w:cs="Arial"/>
          <w:color w:val="000000"/>
          <w:sz w:val="27"/>
          <w:szCs w:val="27"/>
        </w:rPr>
      </w:pPr>
      <w:r>
        <w:rPr>
          <w:rFonts w:hint="eastAsia" w:ascii="仿宋" w:hAnsi="仿宋" w:eastAsia="仿宋" w:cs="Arial"/>
          <w:color w:val="000000"/>
          <w:sz w:val="32"/>
          <w:szCs w:val="32"/>
        </w:rPr>
        <w:t>（三）建议提案办理公开情况</w:t>
      </w:r>
    </w:p>
    <w:p>
      <w:pPr>
        <w:pStyle w:val="5"/>
        <w:shd w:val="clear" w:color="auto" w:fill="FFFFFF"/>
        <w:spacing w:before="0" w:beforeAutospacing="0" w:after="0" w:afterAutospacing="0" w:line="630" w:lineRule="atLeast"/>
        <w:ind w:firstLine="630"/>
        <w:rPr>
          <w:rFonts w:ascii="Arial" w:hAnsi="Arial" w:cs="Arial"/>
          <w:color w:val="000000"/>
          <w:sz w:val="27"/>
          <w:szCs w:val="27"/>
        </w:rPr>
      </w:pPr>
      <w:r>
        <w:rPr>
          <w:rFonts w:hint="eastAsia" w:ascii="仿宋" w:hAnsi="仿宋" w:eastAsia="仿宋" w:cs="Arial"/>
          <w:color w:val="000000"/>
          <w:sz w:val="32"/>
          <w:szCs w:val="32"/>
        </w:rPr>
        <w:t>2020年度办理政协提案1个，主要涉及退役军人生活保障等方面。市退役军人事务局按照提案办理要求，加强组织领导，强化工作措施，规范办理程序，圆满完成了提案办理工作，实现办复率、面复率和满意率3个100％，得到了政协委员们的普遍认可和高度评价，取得了良好成效。</w:t>
      </w:r>
    </w:p>
    <w:p>
      <w:pPr>
        <w:pStyle w:val="5"/>
        <w:shd w:val="clear" w:color="auto" w:fill="FFFFFF"/>
        <w:spacing w:before="0" w:beforeAutospacing="0" w:after="0" w:afterAutospacing="0" w:line="630" w:lineRule="atLeast"/>
        <w:ind w:firstLine="630"/>
        <w:rPr>
          <w:rFonts w:ascii="Arial" w:hAnsi="Arial" w:cs="Arial"/>
          <w:color w:val="000000"/>
          <w:sz w:val="27"/>
          <w:szCs w:val="27"/>
        </w:rPr>
      </w:pPr>
      <w:r>
        <w:rPr>
          <w:rFonts w:hint="eastAsia" w:ascii="仿宋" w:hAnsi="仿宋" w:eastAsia="仿宋" w:cs="Arial"/>
          <w:color w:val="000000"/>
          <w:sz w:val="32"/>
          <w:szCs w:val="32"/>
        </w:rPr>
        <w:t>（四）政府信息管理情况</w:t>
      </w:r>
    </w:p>
    <w:p>
      <w:pPr>
        <w:pStyle w:val="5"/>
        <w:shd w:val="clear" w:color="auto" w:fill="FFFFFF"/>
        <w:spacing w:before="0" w:beforeAutospacing="0" w:after="0" w:afterAutospacing="0" w:line="630" w:lineRule="atLeast"/>
        <w:ind w:firstLine="630"/>
        <w:rPr>
          <w:rFonts w:ascii="Arial" w:hAnsi="Arial" w:cs="Arial"/>
          <w:color w:val="000000"/>
          <w:sz w:val="27"/>
          <w:szCs w:val="27"/>
        </w:rPr>
      </w:pPr>
      <w:r>
        <w:rPr>
          <w:rFonts w:hint="eastAsia" w:ascii="仿宋" w:hAnsi="仿宋" w:eastAsia="仿宋" w:cs="Arial"/>
          <w:color w:val="000000"/>
          <w:sz w:val="32"/>
          <w:szCs w:val="32"/>
        </w:rPr>
        <w:t>全面梳理了门户网站政务公开目录，收集、整理各类政务公开信息，并确定政府门户网站上的政务公开目录，按照目录要求收集公开信息并在网上公开。同时，严格遵循“谁公开、谁审查、谁负责”原则，确保了政务信息公开工作扎实有效开展。健全完善信息公开保密审查制度，提高政府信息公开工作的规范化水平。</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楷体" w:hAnsi="楷体" w:eastAsia="楷体" w:cs="Arial"/>
          <w:color w:val="000000"/>
          <w:kern w:val="0"/>
          <w:sz w:val="32"/>
          <w:szCs w:val="32"/>
        </w:rPr>
        <w:t>（五）政府信息平台建设情况</w:t>
      </w:r>
    </w:p>
    <w:p>
      <w:pPr>
        <w:widowControl/>
        <w:spacing w:before="100" w:beforeAutospacing="1" w:line="720" w:lineRule="atLeast"/>
        <w:ind w:firstLine="634"/>
        <w:jc w:val="left"/>
        <w:rPr>
          <w:rFonts w:ascii="仿宋" w:hAnsi="仿宋" w:eastAsia="仿宋" w:cs="Arial"/>
          <w:color w:val="000000"/>
          <w:kern w:val="0"/>
          <w:sz w:val="32"/>
          <w:szCs w:val="32"/>
        </w:rPr>
      </w:pPr>
      <w:r>
        <w:rPr>
          <w:rFonts w:hint="eastAsia" w:ascii="仿宋" w:hAnsi="仿宋" w:eastAsia="仿宋"/>
          <w:color w:val="000000"/>
          <w:sz w:val="32"/>
          <w:szCs w:val="32"/>
        </w:rPr>
        <w:t>结合自身实际情况，从制度建设入手，完善政府信息公开制度，明确政府信息公开的职责、范围、方式和操作流程。将信息公开的内容和速率作为信息公开工作的核心，安排人员负责公开信息的编辑、审核与发布。同时积极构建微信公众号等新媒体宣传工作新格局，“滕州退役军人事务局”微信公众号关注人数达到5722人。</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楷体" w:hAnsi="楷体" w:eastAsia="楷体" w:cs="Arial"/>
          <w:color w:val="000000"/>
          <w:kern w:val="0"/>
          <w:sz w:val="32"/>
          <w:szCs w:val="32"/>
        </w:rPr>
        <w:t>（六）监督保障情况</w:t>
      </w:r>
    </w:p>
    <w:p>
      <w:pPr>
        <w:pStyle w:val="5"/>
        <w:shd w:val="clear" w:color="auto" w:fill="FFFFFF"/>
        <w:spacing w:before="0" w:beforeAutospacing="0" w:after="0" w:afterAutospacing="0" w:line="630" w:lineRule="atLeast"/>
        <w:ind w:firstLine="630"/>
        <w:rPr>
          <w:rFonts w:ascii="Arial" w:hAnsi="Arial" w:cs="Arial"/>
          <w:color w:val="000000"/>
          <w:sz w:val="20"/>
          <w:szCs w:val="20"/>
        </w:rPr>
      </w:pPr>
      <w:r>
        <w:rPr>
          <w:rFonts w:hint="eastAsia" w:ascii="仿宋" w:hAnsi="仿宋" w:eastAsia="仿宋" w:cs="Arial"/>
          <w:color w:val="000000"/>
          <w:sz w:val="32"/>
          <w:szCs w:val="32"/>
        </w:rPr>
        <w:t>根据全市政府信息公开工作统一部署和要求，进一步强化信息公开工作的组织领导，加强了由主要领导任组长，分管领导任副组长，有关科室负责人为成员，推进政务公开工作。2020年，市退役军人事务局未发生因政府信息公开审查不当或保密审查机构未履行保密审查职责而引起的失泄密情况。</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黑体" w:hAnsi="黑体" w:eastAsia="黑体" w:cs="Arial"/>
          <w:color w:val="000000"/>
          <w:kern w:val="0"/>
          <w:sz w:val="32"/>
          <w:szCs w:val="32"/>
        </w:rPr>
        <w:t>二、主动公开政府信息情况</w:t>
      </w:r>
    </w:p>
    <w:tbl>
      <w:tblPr>
        <w:tblStyle w:val="6"/>
        <w:tblW w:w="8655" w:type="dxa"/>
        <w:jc w:val="center"/>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autofit"/>
        <w:tblCellMar>
          <w:top w:w="75" w:type="dxa"/>
          <w:left w:w="150" w:type="dxa"/>
          <w:bottom w:w="75" w:type="dxa"/>
          <w:right w:w="150" w:type="dxa"/>
        </w:tblCellMar>
      </w:tblPr>
      <w:tblGrid>
        <w:gridCol w:w="2705"/>
        <w:gridCol w:w="2009"/>
        <w:gridCol w:w="1468"/>
        <w:gridCol w:w="2473"/>
      </w:tblGrid>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285" w:hRule="atLeast"/>
          <w:jc w:val="center"/>
        </w:trPr>
        <w:tc>
          <w:tcPr>
            <w:tcW w:w="8400" w:type="dxa"/>
            <w:gridSpan w:val="4"/>
            <w:tcBorders>
              <w:top w:val="single" w:color="00000A" w:sz="8" w:space="0"/>
              <w:left w:val="single" w:color="00000A" w:sz="8" w:space="0"/>
              <w:bottom w:val="single" w:color="00000A" w:sz="8" w:space="0"/>
              <w:right w:val="single" w:color="00000A" w:sz="8" w:space="0"/>
            </w:tcBorders>
            <w:shd w:val="clear" w:color="auto" w:fill="C6D9F1"/>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第二十条第（一）项</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675" w:hRule="atLeast"/>
          <w:jc w:val="center"/>
        </w:trPr>
        <w:tc>
          <w:tcPr>
            <w:tcW w:w="262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信息内容</w:t>
            </w:r>
          </w:p>
        </w:tc>
        <w:tc>
          <w:tcPr>
            <w:tcW w:w="1950"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本年新</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制作数量</w:t>
            </w:r>
          </w:p>
        </w:tc>
        <w:tc>
          <w:tcPr>
            <w:tcW w:w="1425" w:type="dxa"/>
            <w:tcBorders>
              <w:top w:val="single" w:color="00000A" w:sz="8" w:space="0"/>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本年新</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公开数量</w:t>
            </w:r>
          </w:p>
        </w:tc>
        <w:tc>
          <w:tcPr>
            <w:tcW w:w="177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对外公开总数量</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30" w:hRule="atLeast"/>
          <w:jc w:val="center"/>
        </w:trPr>
        <w:tc>
          <w:tcPr>
            <w:tcW w:w="262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color w:val="000000"/>
                <w:kern w:val="0"/>
                <w:sz w:val="24"/>
                <w:szCs w:val="24"/>
              </w:rPr>
              <w:t>规章</w:t>
            </w:r>
          </w:p>
        </w:tc>
        <w:tc>
          <w:tcPr>
            <w:tcW w:w="195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14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0</w:t>
            </w:r>
          </w:p>
        </w:tc>
        <w:tc>
          <w:tcPr>
            <w:tcW w:w="177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270" w:hRule="atLeast"/>
          <w:jc w:val="center"/>
        </w:trPr>
        <w:tc>
          <w:tcPr>
            <w:tcW w:w="262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color w:val="000000"/>
                <w:kern w:val="0"/>
                <w:sz w:val="24"/>
                <w:szCs w:val="24"/>
              </w:rPr>
              <w:t>规范性文件</w:t>
            </w:r>
          </w:p>
        </w:tc>
        <w:tc>
          <w:tcPr>
            <w:tcW w:w="195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14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0</w:t>
            </w:r>
          </w:p>
        </w:tc>
        <w:tc>
          <w:tcPr>
            <w:tcW w:w="177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285" w:hRule="atLeast"/>
          <w:jc w:val="center"/>
        </w:trPr>
        <w:tc>
          <w:tcPr>
            <w:tcW w:w="8400" w:type="dxa"/>
            <w:gridSpan w:val="4"/>
            <w:tcBorders>
              <w:top w:val="nil"/>
              <w:left w:val="single" w:color="00000A" w:sz="8" w:space="0"/>
              <w:bottom w:val="single" w:color="00000A" w:sz="8" w:space="0"/>
              <w:right w:val="single" w:color="00000A" w:sz="8" w:space="0"/>
            </w:tcBorders>
            <w:shd w:val="clear" w:color="auto" w:fill="C6D9F1"/>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第二十条第（五）项</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435" w:hRule="atLeast"/>
          <w:jc w:val="center"/>
        </w:trPr>
        <w:tc>
          <w:tcPr>
            <w:tcW w:w="262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信息内容</w:t>
            </w:r>
          </w:p>
        </w:tc>
        <w:tc>
          <w:tcPr>
            <w:tcW w:w="1950"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上一年项目数量</w:t>
            </w:r>
          </w:p>
        </w:tc>
        <w:tc>
          <w:tcPr>
            <w:tcW w:w="1425" w:type="dxa"/>
            <w:tcBorders>
              <w:top w:val="single" w:color="00000A" w:sz="8" w:space="0"/>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本年增</w:t>
            </w:r>
            <w:r>
              <w:rPr>
                <w:rFonts w:hint="eastAsia" w:ascii="宋体" w:hAnsi="宋体" w:eastAsia="宋体" w:cs="宋体"/>
                <w:kern w:val="0"/>
                <w:sz w:val="24"/>
                <w:szCs w:val="24"/>
              </w:rPr>
              <w:t>/减</w:t>
            </w:r>
          </w:p>
        </w:tc>
        <w:tc>
          <w:tcPr>
            <w:tcW w:w="177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处理决定数量</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30" w:hRule="atLeast"/>
          <w:jc w:val="center"/>
        </w:trPr>
        <w:tc>
          <w:tcPr>
            <w:tcW w:w="262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color w:val="000000"/>
                <w:kern w:val="0"/>
                <w:sz w:val="24"/>
                <w:szCs w:val="24"/>
              </w:rPr>
              <w:t>行政许可</w:t>
            </w:r>
          </w:p>
        </w:tc>
        <w:tc>
          <w:tcPr>
            <w:tcW w:w="195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14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177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45" w:hRule="atLeast"/>
          <w:jc w:val="center"/>
        </w:trPr>
        <w:tc>
          <w:tcPr>
            <w:tcW w:w="262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color w:val="000000"/>
                <w:kern w:val="0"/>
                <w:sz w:val="24"/>
                <w:szCs w:val="24"/>
              </w:rPr>
              <w:t>其他对外管理服务事项</w:t>
            </w:r>
          </w:p>
        </w:tc>
        <w:tc>
          <w:tcPr>
            <w:tcW w:w="195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14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177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210" w:hRule="atLeast"/>
          <w:jc w:val="center"/>
        </w:trPr>
        <w:tc>
          <w:tcPr>
            <w:tcW w:w="8400" w:type="dxa"/>
            <w:gridSpan w:val="4"/>
            <w:tcBorders>
              <w:top w:val="nil"/>
              <w:left w:val="single" w:color="00000A" w:sz="8" w:space="0"/>
              <w:bottom w:val="single" w:color="00000A" w:sz="8" w:space="0"/>
              <w:right w:val="single" w:color="00000A" w:sz="8" w:space="0"/>
            </w:tcBorders>
            <w:shd w:val="clear" w:color="auto" w:fill="C6D9F1"/>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第二十条第（六）项</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435" w:hRule="atLeast"/>
          <w:jc w:val="center"/>
        </w:trPr>
        <w:tc>
          <w:tcPr>
            <w:tcW w:w="262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信息内容</w:t>
            </w:r>
          </w:p>
        </w:tc>
        <w:tc>
          <w:tcPr>
            <w:tcW w:w="1950"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上一年项目数量</w:t>
            </w:r>
          </w:p>
        </w:tc>
        <w:tc>
          <w:tcPr>
            <w:tcW w:w="1425" w:type="dxa"/>
            <w:tcBorders>
              <w:top w:val="single" w:color="00000A" w:sz="8" w:space="0"/>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本年增</w:t>
            </w:r>
            <w:r>
              <w:rPr>
                <w:rFonts w:hint="eastAsia" w:ascii="宋体" w:hAnsi="宋体" w:eastAsia="宋体" w:cs="宋体"/>
                <w:kern w:val="0"/>
                <w:sz w:val="24"/>
                <w:szCs w:val="24"/>
              </w:rPr>
              <w:t>/减</w:t>
            </w:r>
          </w:p>
        </w:tc>
        <w:tc>
          <w:tcPr>
            <w:tcW w:w="177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处理决定数量</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225" w:hRule="atLeast"/>
          <w:jc w:val="center"/>
        </w:trPr>
        <w:tc>
          <w:tcPr>
            <w:tcW w:w="262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color w:val="000000"/>
                <w:kern w:val="0"/>
                <w:sz w:val="24"/>
                <w:szCs w:val="24"/>
              </w:rPr>
              <w:t>行政处罚</w:t>
            </w:r>
          </w:p>
        </w:tc>
        <w:tc>
          <w:tcPr>
            <w:tcW w:w="195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14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177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210" w:hRule="atLeast"/>
          <w:jc w:val="center"/>
        </w:trPr>
        <w:tc>
          <w:tcPr>
            <w:tcW w:w="262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color w:val="000000"/>
                <w:kern w:val="0"/>
                <w:sz w:val="24"/>
                <w:szCs w:val="24"/>
              </w:rPr>
              <w:t>行政强制</w:t>
            </w:r>
          </w:p>
        </w:tc>
        <w:tc>
          <w:tcPr>
            <w:tcW w:w="195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14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177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270" w:hRule="atLeast"/>
          <w:jc w:val="center"/>
        </w:trPr>
        <w:tc>
          <w:tcPr>
            <w:tcW w:w="8400" w:type="dxa"/>
            <w:gridSpan w:val="4"/>
            <w:tcBorders>
              <w:top w:val="nil"/>
              <w:left w:val="single" w:color="00000A" w:sz="8" w:space="0"/>
              <w:bottom w:val="single" w:color="00000A" w:sz="8" w:space="0"/>
              <w:right w:val="single" w:color="00000A" w:sz="8" w:space="0"/>
            </w:tcBorders>
            <w:shd w:val="clear" w:color="auto" w:fill="C6D9F1"/>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第二十条第（八）项</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120" w:hRule="atLeast"/>
          <w:jc w:val="center"/>
        </w:trPr>
        <w:tc>
          <w:tcPr>
            <w:tcW w:w="262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12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信息内容</w:t>
            </w:r>
          </w:p>
        </w:tc>
        <w:tc>
          <w:tcPr>
            <w:tcW w:w="195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120" w:lineRule="atLeast"/>
              <w:jc w:val="left"/>
              <w:rPr>
                <w:rFonts w:ascii="宋体" w:hAnsi="宋体" w:eastAsia="宋体" w:cs="宋体"/>
                <w:kern w:val="0"/>
                <w:sz w:val="20"/>
                <w:szCs w:val="20"/>
              </w:rPr>
            </w:pPr>
            <w:r>
              <w:rPr>
                <w:rFonts w:hint="eastAsia" w:ascii="宋体" w:hAnsi="宋体" w:eastAsia="宋体" w:cs="宋体"/>
                <w:color w:val="000000"/>
                <w:kern w:val="0"/>
                <w:sz w:val="24"/>
                <w:szCs w:val="24"/>
              </w:rPr>
              <w:t>上一年项目数量</w:t>
            </w:r>
          </w:p>
        </w:tc>
        <w:tc>
          <w:tcPr>
            <w:tcW w:w="3405" w:type="dxa"/>
            <w:gridSpan w:val="2"/>
            <w:tcBorders>
              <w:top w:val="single" w:color="00000A" w:sz="8" w:space="0"/>
              <w:left w:val="nil"/>
              <w:bottom w:val="single" w:color="00000A" w:sz="8" w:space="0"/>
              <w:right w:val="single" w:color="000001" w:sz="8" w:space="0"/>
            </w:tcBorders>
            <w:tcMar>
              <w:top w:w="0" w:type="dxa"/>
              <w:left w:w="115" w:type="dxa"/>
              <w:bottom w:w="0" w:type="dxa"/>
              <w:right w:w="115" w:type="dxa"/>
            </w:tcMar>
            <w:vAlign w:val="center"/>
          </w:tcPr>
          <w:p>
            <w:pPr>
              <w:widowControl/>
              <w:wordWrap w:val="0"/>
              <w:spacing w:line="12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本年增</w:t>
            </w:r>
            <w:r>
              <w:rPr>
                <w:rFonts w:hint="eastAsia" w:ascii="宋体" w:hAnsi="宋体" w:eastAsia="宋体" w:cs="宋体"/>
                <w:kern w:val="0"/>
                <w:sz w:val="24"/>
                <w:szCs w:val="24"/>
              </w:rPr>
              <w:t>/减</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45" w:hRule="atLeast"/>
          <w:jc w:val="center"/>
        </w:trPr>
        <w:tc>
          <w:tcPr>
            <w:tcW w:w="262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color w:val="000000"/>
                <w:kern w:val="0"/>
                <w:sz w:val="24"/>
                <w:szCs w:val="24"/>
              </w:rPr>
              <w:t>行政事业性收费</w:t>
            </w:r>
          </w:p>
        </w:tc>
        <w:tc>
          <w:tcPr>
            <w:tcW w:w="195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0</w:t>
            </w:r>
          </w:p>
        </w:tc>
        <w:tc>
          <w:tcPr>
            <w:tcW w:w="3405" w:type="dxa"/>
            <w:gridSpan w:val="2"/>
            <w:tcBorders>
              <w:top w:val="nil"/>
              <w:left w:val="nil"/>
              <w:bottom w:val="single" w:color="00000A" w:sz="8" w:space="0"/>
              <w:right w:val="single" w:color="000001"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285" w:hRule="atLeast"/>
          <w:jc w:val="center"/>
        </w:trPr>
        <w:tc>
          <w:tcPr>
            <w:tcW w:w="8400" w:type="dxa"/>
            <w:gridSpan w:val="4"/>
            <w:tcBorders>
              <w:top w:val="nil"/>
              <w:left w:val="single" w:color="00000A" w:sz="8" w:space="0"/>
              <w:bottom w:val="single" w:color="00000A" w:sz="8" w:space="0"/>
              <w:right w:val="single" w:color="00000A" w:sz="8" w:space="0"/>
            </w:tcBorders>
            <w:shd w:val="clear" w:color="auto" w:fill="C6D9F1"/>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第二十条第（九）项</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90" w:hRule="atLeast"/>
          <w:jc w:val="center"/>
        </w:trPr>
        <w:tc>
          <w:tcPr>
            <w:tcW w:w="262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信息内容</w:t>
            </w:r>
          </w:p>
        </w:tc>
        <w:tc>
          <w:tcPr>
            <w:tcW w:w="195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采购项目数量</w:t>
            </w:r>
          </w:p>
        </w:tc>
        <w:tc>
          <w:tcPr>
            <w:tcW w:w="3405" w:type="dxa"/>
            <w:gridSpan w:val="2"/>
            <w:tcBorders>
              <w:top w:val="single" w:color="00000A" w:sz="8" w:space="0"/>
              <w:left w:val="nil"/>
              <w:bottom w:val="single" w:color="00000A" w:sz="8" w:space="0"/>
              <w:right w:val="single" w:color="000001"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采购总金额</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45" w:hRule="atLeast"/>
          <w:jc w:val="center"/>
        </w:trPr>
        <w:tc>
          <w:tcPr>
            <w:tcW w:w="262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color w:val="000000"/>
                <w:kern w:val="0"/>
                <w:sz w:val="24"/>
                <w:szCs w:val="24"/>
              </w:rPr>
              <w:t>政府集中采购</w:t>
            </w:r>
          </w:p>
        </w:tc>
        <w:tc>
          <w:tcPr>
            <w:tcW w:w="195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0</w:t>
            </w:r>
          </w:p>
        </w:tc>
        <w:tc>
          <w:tcPr>
            <w:tcW w:w="3405" w:type="dxa"/>
            <w:gridSpan w:val="2"/>
            <w:tcBorders>
              <w:top w:val="nil"/>
              <w:left w:val="nil"/>
              <w:bottom w:val="single" w:color="00000A" w:sz="8" w:space="0"/>
              <w:right w:val="single" w:color="000001"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bl>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黑体" w:hAnsi="黑体" w:eastAsia="黑体" w:cs="Arial"/>
          <w:color w:val="000000"/>
          <w:kern w:val="0"/>
          <w:sz w:val="32"/>
          <w:szCs w:val="32"/>
        </w:rPr>
        <w:t>三、收到和处理政府信息公开申请情况</w:t>
      </w:r>
    </w:p>
    <w:p>
      <w:pPr>
        <w:widowControl/>
        <w:spacing w:before="100" w:beforeAutospacing="1" w:line="195" w:lineRule="atLeast"/>
        <w:ind w:firstLine="634"/>
        <w:jc w:val="left"/>
        <w:rPr>
          <w:rFonts w:ascii="Arial" w:hAnsi="Arial" w:eastAsia="宋体" w:cs="Arial"/>
          <w:color w:val="000000"/>
          <w:kern w:val="0"/>
          <w:sz w:val="20"/>
          <w:szCs w:val="20"/>
        </w:rPr>
      </w:pPr>
    </w:p>
    <w:tbl>
      <w:tblPr>
        <w:tblStyle w:val="6"/>
        <w:tblW w:w="11610" w:type="dxa"/>
        <w:jc w:val="center"/>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autofit"/>
        <w:tblCellMar>
          <w:top w:w="75" w:type="dxa"/>
          <w:left w:w="150" w:type="dxa"/>
          <w:bottom w:w="75" w:type="dxa"/>
          <w:right w:w="150" w:type="dxa"/>
        </w:tblCellMar>
      </w:tblPr>
      <w:tblGrid>
        <w:gridCol w:w="877"/>
        <w:gridCol w:w="1044"/>
        <w:gridCol w:w="2964"/>
        <w:gridCol w:w="630"/>
        <w:gridCol w:w="648"/>
        <w:gridCol w:w="648"/>
        <w:gridCol w:w="797"/>
        <w:gridCol w:w="834"/>
        <w:gridCol w:w="611"/>
        <w:gridCol w:w="1037"/>
        <w:gridCol w:w="1520"/>
      </w:tblGrid>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3585" w:type="dxa"/>
            <w:gridSpan w:val="3"/>
            <w:vMerge w:val="restart"/>
            <w:tcBorders>
              <w:top w:val="single" w:color="00000A" w:sz="8" w:space="0"/>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（本列数据的勾稽关系为：第一项加第二项之和，等于第三项加第四项之和）</w:t>
            </w:r>
          </w:p>
        </w:tc>
        <w:tc>
          <w:tcPr>
            <w:tcW w:w="5100" w:type="dxa"/>
            <w:gridSpan w:val="8"/>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申请人情况</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gridSpan w:val="3"/>
            <w:vMerge w:val="continue"/>
            <w:tcBorders>
              <w:top w:val="single" w:color="00000A" w:sz="8" w:space="0"/>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510" w:type="dxa"/>
            <w:vMerge w:val="restart"/>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自然人</w:t>
            </w:r>
          </w:p>
        </w:tc>
        <w:tc>
          <w:tcPr>
            <w:tcW w:w="3705" w:type="dxa"/>
            <w:gridSpan w:val="6"/>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法人或其他组织</w:t>
            </w:r>
          </w:p>
        </w:tc>
        <w:tc>
          <w:tcPr>
            <w:tcW w:w="465" w:type="dxa"/>
            <w:vMerge w:val="restart"/>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总计</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gridSpan w:val="3"/>
            <w:vMerge w:val="continue"/>
            <w:tcBorders>
              <w:top w:val="single" w:color="00000A" w:sz="8" w:space="0"/>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商业企业</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科研机构</w:t>
            </w:r>
          </w:p>
        </w:tc>
        <w:tc>
          <w:tcPr>
            <w:tcW w:w="645"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社会公益组织</w:t>
            </w:r>
          </w:p>
        </w:tc>
        <w:tc>
          <w:tcPr>
            <w:tcW w:w="675"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法律服务机构</w:t>
            </w:r>
          </w:p>
        </w:tc>
        <w:tc>
          <w:tcPr>
            <w:tcW w:w="495"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其他</w:t>
            </w:r>
          </w:p>
        </w:tc>
        <w:tc>
          <w:tcPr>
            <w:tcW w:w="495"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jc w:val="left"/>
              <w:rPr>
                <w:rFonts w:ascii="宋体" w:hAnsi="宋体" w:eastAsia="宋体" w:cs="宋体"/>
                <w:kern w:val="0"/>
                <w:sz w:val="24"/>
                <w:szCs w:val="24"/>
              </w:rPr>
            </w:pPr>
          </w:p>
        </w:tc>
        <w:tc>
          <w:tcPr>
            <w:tcW w:w="0" w:type="auto"/>
            <w:vMerge w:val="continue"/>
            <w:tcBorders>
              <w:top w:val="single" w:color="00000A" w:sz="8" w:space="0"/>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135" w:hRule="atLeast"/>
          <w:jc w:val="center"/>
        </w:trPr>
        <w:tc>
          <w:tcPr>
            <w:tcW w:w="3585" w:type="dxa"/>
            <w:gridSpan w:val="3"/>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left"/>
              <w:rPr>
                <w:rFonts w:ascii="宋体" w:hAnsi="宋体" w:eastAsia="宋体" w:cs="宋体"/>
                <w:kern w:val="0"/>
                <w:sz w:val="20"/>
                <w:szCs w:val="20"/>
              </w:rPr>
            </w:pPr>
            <w:r>
              <w:rPr>
                <w:rFonts w:hint="eastAsia" w:ascii="宋体" w:hAnsi="宋体" w:eastAsia="宋体" w:cs="宋体"/>
                <w:kern w:val="0"/>
                <w:sz w:val="24"/>
                <w:szCs w:val="24"/>
              </w:rPr>
              <w:t>一、本年新收政府信息公开申请数量</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gridSpan w:val="2"/>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135" w:hRule="atLeast"/>
          <w:jc w:val="center"/>
        </w:trPr>
        <w:tc>
          <w:tcPr>
            <w:tcW w:w="3585" w:type="dxa"/>
            <w:gridSpan w:val="3"/>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left"/>
              <w:rPr>
                <w:rFonts w:ascii="宋体" w:hAnsi="宋体" w:eastAsia="宋体" w:cs="宋体"/>
                <w:kern w:val="0"/>
                <w:sz w:val="20"/>
                <w:szCs w:val="20"/>
              </w:rPr>
            </w:pPr>
            <w:r>
              <w:rPr>
                <w:rFonts w:hint="eastAsia" w:ascii="宋体" w:hAnsi="宋体" w:eastAsia="宋体" w:cs="宋体"/>
                <w:kern w:val="0"/>
                <w:sz w:val="24"/>
                <w:szCs w:val="24"/>
              </w:rPr>
              <w:t>二、上年结转政府信息公开申请数量</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gridSpan w:val="2"/>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135"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465" w:type="dxa"/>
            <w:vMerge w:val="restart"/>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三、本年度办理结果</w:t>
            </w:r>
          </w:p>
        </w:tc>
        <w:tc>
          <w:tcPr>
            <w:tcW w:w="2910"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（一）予以公开</w:t>
            </w:r>
          </w:p>
        </w:tc>
        <w:tc>
          <w:tcPr>
            <w:tcW w:w="51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gridSpan w:val="2"/>
            <w:tcBorders>
              <w:top w:val="single" w:color="00000A" w:sz="8" w:space="0"/>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2910"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（二）部分公开（区分处理的，只计这一情形，不计其他情形）</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720" w:type="dxa"/>
            <w:vMerge w:val="restart"/>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（三）不予公开</w:t>
            </w: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1.属于国家秘密</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2.其他法律行政法规禁止公开</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3.危及“三安全一稳定”</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4.保护第三方合法权益</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5.属于三类内部事务信息</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6.属于四类过程性信息</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7.属于行政执法案卷</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8.属于行政查询事项</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720" w:type="dxa"/>
            <w:vMerge w:val="restart"/>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（四）无法提供</w:t>
            </w: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1.本机关不掌握相关政府信息</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2.没有现成信息需要另行制作</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3.补正后申请内容仍不明确</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720" w:type="dxa"/>
            <w:vMerge w:val="restart"/>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（五）不予处理</w:t>
            </w: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1.信访举报投诉类申请</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2.重复申请</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3.要求提供公开出版物</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4.无正当理由大量反复申请</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198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5.要求行政机关确认或重新出具已获取信息</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2910"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（六）其他处理</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2910"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kern w:val="0"/>
                <w:sz w:val="24"/>
                <w:szCs w:val="24"/>
              </w:rPr>
              <w:t>（七）总计</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gridSpan w:val="2"/>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255" w:hRule="atLeast"/>
          <w:jc w:val="center"/>
        </w:trPr>
        <w:tc>
          <w:tcPr>
            <w:tcW w:w="3585" w:type="dxa"/>
            <w:gridSpan w:val="3"/>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left"/>
              <w:rPr>
                <w:rFonts w:ascii="宋体" w:hAnsi="宋体" w:eastAsia="宋体" w:cs="宋体"/>
                <w:kern w:val="0"/>
                <w:sz w:val="20"/>
                <w:szCs w:val="20"/>
              </w:rPr>
            </w:pPr>
            <w:r>
              <w:rPr>
                <w:rFonts w:hint="eastAsia" w:ascii="宋体" w:hAnsi="宋体" w:eastAsia="宋体" w:cs="宋体"/>
                <w:color w:val="000000"/>
                <w:kern w:val="0"/>
                <w:sz w:val="24"/>
                <w:szCs w:val="24"/>
              </w:rPr>
              <w:t>四、结转下年度继续办理</w:t>
            </w:r>
          </w:p>
        </w:tc>
        <w:tc>
          <w:tcPr>
            <w:tcW w:w="51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52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4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67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9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65" w:type="dxa"/>
            <w:gridSpan w:val="2"/>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bl>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黑体" w:hAnsi="黑体" w:eastAsia="黑体" w:cs="Arial"/>
          <w:color w:val="000000"/>
          <w:kern w:val="0"/>
          <w:sz w:val="32"/>
          <w:szCs w:val="32"/>
        </w:rPr>
        <w:t>四、政府信息公开行政复议、行政诉讼情况</w:t>
      </w:r>
    </w:p>
    <w:p>
      <w:pPr>
        <w:widowControl/>
        <w:spacing w:before="100" w:beforeAutospacing="1" w:line="195" w:lineRule="atLeast"/>
        <w:ind w:firstLine="634"/>
        <w:jc w:val="left"/>
        <w:rPr>
          <w:rFonts w:ascii="Arial" w:hAnsi="Arial" w:eastAsia="宋体" w:cs="Arial"/>
          <w:color w:val="000000"/>
          <w:kern w:val="0"/>
          <w:sz w:val="20"/>
          <w:szCs w:val="20"/>
        </w:rPr>
      </w:pPr>
    </w:p>
    <w:tbl>
      <w:tblPr>
        <w:tblStyle w:val="6"/>
        <w:tblW w:w="9255" w:type="dxa"/>
        <w:jc w:val="center"/>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autofit"/>
        <w:tblCellMar>
          <w:top w:w="75" w:type="dxa"/>
          <w:left w:w="150" w:type="dxa"/>
          <w:bottom w:w="75" w:type="dxa"/>
          <w:right w:w="150" w:type="dxa"/>
        </w:tblCellMar>
      </w:tblPr>
      <w:tblGrid>
        <w:gridCol w:w="488"/>
        <w:gridCol w:w="405"/>
        <w:gridCol w:w="488"/>
        <w:gridCol w:w="488"/>
        <w:gridCol w:w="1356"/>
        <w:gridCol w:w="380"/>
        <w:gridCol w:w="406"/>
        <w:gridCol w:w="406"/>
        <w:gridCol w:w="406"/>
        <w:gridCol w:w="1295"/>
        <w:gridCol w:w="406"/>
        <w:gridCol w:w="406"/>
        <w:gridCol w:w="406"/>
        <w:gridCol w:w="406"/>
        <w:gridCol w:w="1513"/>
      </w:tblGrid>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2850" w:type="dxa"/>
            <w:gridSpan w:val="5"/>
            <w:tcBorders>
              <w:top w:val="single" w:color="00000A" w:sz="8" w:space="0"/>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行政复议</w:t>
            </w:r>
          </w:p>
        </w:tc>
        <w:tc>
          <w:tcPr>
            <w:tcW w:w="5775" w:type="dxa"/>
            <w:gridSpan w:val="10"/>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行政诉讼</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375" w:type="dxa"/>
            <w:vMerge w:val="restart"/>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结果维持</w:t>
            </w:r>
          </w:p>
        </w:tc>
        <w:tc>
          <w:tcPr>
            <w:tcW w:w="390" w:type="dxa"/>
            <w:vMerge w:val="restart"/>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结果纠正</w:t>
            </w:r>
          </w:p>
        </w:tc>
        <w:tc>
          <w:tcPr>
            <w:tcW w:w="390" w:type="dxa"/>
            <w:vMerge w:val="restart"/>
            <w:tcBorders>
              <w:top w:val="single" w:color="00000A" w:sz="8" w:space="0"/>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其他结果</w:t>
            </w:r>
          </w:p>
        </w:tc>
        <w:tc>
          <w:tcPr>
            <w:tcW w:w="390" w:type="dxa"/>
            <w:vMerge w:val="restart"/>
            <w:tcBorders>
              <w:top w:val="single" w:color="00000A" w:sz="8" w:space="0"/>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尚未审结</w:t>
            </w:r>
          </w:p>
        </w:tc>
        <w:tc>
          <w:tcPr>
            <w:tcW w:w="450" w:type="dxa"/>
            <w:vMerge w:val="restart"/>
            <w:tcBorders>
              <w:top w:val="single" w:color="00000A" w:sz="8" w:space="0"/>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总计</w:t>
            </w:r>
          </w:p>
        </w:tc>
        <w:tc>
          <w:tcPr>
            <w:tcW w:w="2760" w:type="dxa"/>
            <w:gridSpan w:val="5"/>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未经复议直接起诉</w:t>
            </w:r>
          </w:p>
        </w:tc>
        <w:tc>
          <w:tcPr>
            <w:tcW w:w="2805" w:type="dxa"/>
            <w:gridSpan w:val="5"/>
            <w:tcBorders>
              <w:top w:val="single" w:color="00000A" w:sz="8" w:space="0"/>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复议后起诉</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nil"/>
              <w:left w:val="single" w:color="00000A" w:sz="8" w:space="0"/>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nil"/>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single" w:color="00000A" w:sz="8" w:space="0"/>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single" w:color="00000A" w:sz="8" w:space="0"/>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0" w:type="auto"/>
            <w:vMerge w:val="continue"/>
            <w:tcBorders>
              <w:top w:val="single" w:color="00000A" w:sz="8" w:space="0"/>
              <w:left w:val="nil"/>
              <w:bottom w:val="single" w:color="00000A" w:sz="8" w:space="0"/>
              <w:right w:val="single" w:color="00000A" w:sz="8" w:space="0"/>
            </w:tcBorders>
            <w:vAlign w:val="center"/>
          </w:tcPr>
          <w:p>
            <w:pPr>
              <w:widowControl/>
              <w:jc w:val="left"/>
              <w:rPr>
                <w:rFonts w:ascii="宋体" w:hAnsi="宋体" w:eastAsia="宋体" w:cs="宋体"/>
                <w:kern w:val="0"/>
                <w:sz w:val="20"/>
                <w:szCs w:val="20"/>
              </w:rPr>
            </w:pPr>
          </w:p>
        </w:tc>
        <w:tc>
          <w:tcPr>
            <w:tcW w:w="3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结果维持</w:t>
            </w:r>
          </w:p>
        </w:tc>
        <w:tc>
          <w:tcPr>
            <w:tcW w:w="39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结果纠正</w:t>
            </w:r>
          </w:p>
        </w:tc>
        <w:tc>
          <w:tcPr>
            <w:tcW w:w="390"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其他结果</w:t>
            </w:r>
          </w:p>
        </w:tc>
        <w:tc>
          <w:tcPr>
            <w:tcW w:w="390"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尚未审结</w:t>
            </w:r>
          </w:p>
        </w:tc>
        <w:tc>
          <w:tcPr>
            <w:tcW w:w="390"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总计</w:t>
            </w:r>
          </w:p>
        </w:tc>
        <w:tc>
          <w:tcPr>
            <w:tcW w:w="390"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结果维持</w:t>
            </w:r>
          </w:p>
        </w:tc>
        <w:tc>
          <w:tcPr>
            <w:tcW w:w="390"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结果纠正</w:t>
            </w:r>
          </w:p>
        </w:tc>
        <w:tc>
          <w:tcPr>
            <w:tcW w:w="390"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其他结果</w:t>
            </w:r>
          </w:p>
        </w:tc>
        <w:tc>
          <w:tcPr>
            <w:tcW w:w="390"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尚未审结</w:t>
            </w:r>
          </w:p>
        </w:tc>
        <w:tc>
          <w:tcPr>
            <w:tcW w:w="375" w:type="dxa"/>
            <w:tcBorders>
              <w:top w:val="single" w:color="00000A" w:sz="8" w:space="0"/>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color w:val="000000"/>
                <w:kern w:val="0"/>
                <w:sz w:val="24"/>
                <w:szCs w:val="24"/>
              </w:rPr>
              <w:t>总计</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720" w:hRule="atLeast"/>
          <w:jc w:val="center"/>
        </w:trPr>
        <w:tc>
          <w:tcPr>
            <w:tcW w:w="375" w:type="dxa"/>
            <w:tcBorders>
              <w:top w:val="nil"/>
              <w:left w:val="single" w:color="00000A" w:sz="8" w:space="0"/>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390"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39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39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45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345" w:type="dxa"/>
            <w:tcBorders>
              <w:top w:val="nil"/>
              <w:left w:val="nil"/>
              <w:bottom w:val="single" w:color="00000A" w:sz="8" w:space="0"/>
              <w:right w:val="single" w:color="00000A" w:sz="8" w:space="0"/>
            </w:tcBorders>
            <w:tcMar>
              <w:top w:w="0" w:type="dxa"/>
              <w:left w:w="0"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39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39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39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39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39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39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39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390"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c>
          <w:tcPr>
            <w:tcW w:w="375" w:type="dxa"/>
            <w:tcBorders>
              <w:top w:val="nil"/>
              <w:left w:val="nil"/>
              <w:bottom w:val="single" w:color="00000A" w:sz="8" w:space="0"/>
              <w:right w:val="single" w:color="00000A" w:sz="8" w:space="0"/>
            </w:tcBorders>
            <w:tcMar>
              <w:top w:w="0" w:type="dxa"/>
              <w:left w:w="115" w:type="dxa"/>
              <w:bottom w:w="0" w:type="dxa"/>
              <w:right w:w="115" w:type="dxa"/>
            </w:tcMar>
            <w:vAlign w:val="center"/>
          </w:tcPr>
          <w:p>
            <w:pPr>
              <w:widowControl/>
              <w:wordWrap w:val="0"/>
              <w:spacing w:line="360" w:lineRule="atLeast"/>
              <w:jc w:val="center"/>
              <w:rPr>
                <w:rFonts w:ascii="宋体" w:hAnsi="宋体" w:eastAsia="宋体" w:cs="宋体"/>
                <w:kern w:val="0"/>
                <w:sz w:val="20"/>
                <w:szCs w:val="20"/>
              </w:rPr>
            </w:pPr>
            <w:r>
              <w:rPr>
                <w:rFonts w:hint="eastAsia" w:ascii="宋体" w:hAnsi="宋体" w:eastAsia="宋体" w:cs="宋体"/>
                <w:kern w:val="0"/>
                <w:sz w:val="24"/>
                <w:szCs w:val="24"/>
              </w:rPr>
              <w:t>0</w:t>
            </w:r>
          </w:p>
        </w:tc>
      </w:tr>
    </w:tbl>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黑体" w:hAnsi="黑体" w:eastAsia="黑体" w:cs="Arial"/>
          <w:color w:val="000000"/>
          <w:kern w:val="0"/>
          <w:sz w:val="32"/>
          <w:szCs w:val="32"/>
        </w:rPr>
        <w:t>五、存在的主要问题及改进情况</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仿宋" w:hAnsi="仿宋" w:eastAsia="仿宋" w:cs="Arial"/>
          <w:color w:val="000000"/>
          <w:kern w:val="0"/>
          <w:sz w:val="32"/>
          <w:szCs w:val="32"/>
        </w:rPr>
        <w:t>我局2020年信息公开工作还存在一些问题，有待进一步提高。一是信息动态公开发布不够及时；二是政务公开工作规范性有待加强；三是政务公开工作力量薄弱。</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仿宋" w:hAnsi="仿宋" w:eastAsia="仿宋" w:cs="Arial"/>
          <w:color w:val="000000"/>
          <w:kern w:val="0"/>
          <w:sz w:val="32"/>
          <w:szCs w:val="32"/>
        </w:rPr>
        <w:t>下一步，我局将采取以下措施加以改进：</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楷体" w:hAnsi="楷体" w:eastAsia="楷体" w:cs="Arial"/>
          <w:color w:val="000000"/>
          <w:kern w:val="0"/>
          <w:sz w:val="32"/>
          <w:szCs w:val="32"/>
        </w:rPr>
        <w:t>一是加大信息公开力度。</w:t>
      </w:r>
      <w:r>
        <w:rPr>
          <w:rFonts w:hint="eastAsia" w:ascii="仿宋" w:hAnsi="仿宋" w:eastAsia="仿宋" w:cs="Arial"/>
          <w:color w:val="000000"/>
          <w:kern w:val="0"/>
          <w:sz w:val="32"/>
          <w:szCs w:val="32"/>
        </w:rPr>
        <w:t>积极建立主动公开文件台账，定期核对、定期通报主动公开情况，确保“应公开尽公开”。同时提高政务信息发布的实效性，及时发布相关政务公开信息。</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楷体" w:hAnsi="楷体" w:eastAsia="楷体" w:cs="Arial"/>
          <w:color w:val="000000"/>
          <w:kern w:val="0"/>
          <w:sz w:val="32"/>
          <w:szCs w:val="32"/>
        </w:rPr>
        <w:t>二是规范依信息公开制度。</w:t>
      </w:r>
      <w:r>
        <w:rPr>
          <w:rFonts w:hint="eastAsia" w:ascii="仿宋" w:hAnsi="仿宋" w:eastAsia="仿宋" w:cs="Arial"/>
          <w:color w:val="000000"/>
          <w:kern w:val="0"/>
          <w:sz w:val="32"/>
          <w:szCs w:val="32"/>
        </w:rPr>
        <w:t>进一步完善信息公开制度建设，建立健全信息公开工作长效机制，把政务信息公开工作作为长期的动态工作落到实处，确保公开信息的及时性、准确性和有效性；</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楷体" w:hAnsi="楷体" w:eastAsia="楷体" w:cs="Arial"/>
          <w:color w:val="000000"/>
          <w:kern w:val="0"/>
          <w:sz w:val="32"/>
          <w:szCs w:val="32"/>
        </w:rPr>
        <w:t>三是加强信息队伍建设。</w:t>
      </w:r>
      <w:r>
        <w:rPr>
          <w:rFonts w:hint="eastAsia" w:ascii="仿宋" w:hAnsi="仿宋" w:eastAsia="仿宋" w:cs="Arial"/>
          <w:color w:val="000000"/>
          <w:kern w:val="0"/>
          <w:sz w:val="32"/>
          <w:szCs w:val="32"/>
        </w:rPr>
        <w:t>积极参加上级组织的政务公开工作培训班，组织召开退役军人事务系统信息工作和政务公开工作座谈会，及时传达培训班精神和有关政务公开知识，提高政务工作者的业务能力和实际操作能力，规范操作程序，提高信息公开的工作水平。</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黑体" w:hAnsi="黑体" w:eastAsia="黑体" w:cs="Arial"/>
          <w:color w:val="000000"/>
          <w:kern w:val="0"/>
          <w:sz w:val="32"/>
          <w:szCs w:val="32"/>
        </w:rPr>
        <w:t>六、其他需要报告的事项</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仿宋" w:hAnsi="仿宋" w:eastAsia="仿宋" w:cs="Arial"/>
          <w:color w:val="000000"/>
          <w:kern w:val="0"/>
          <w:sz w:val="32"/>
          <w:szCs w:val="32"/>
        </w:rPr>
        <w:t>本报告的电子版可在“中国滕州网”（www.tengzhou.gov.cn）网站查询和下载。如对本报告有任何疑问，请与滕州市退役军人事务局办公室联系。（地址：山东省滕州市春藤东路1566号办公室106房间，联系电话：0632—8028600，电子邮箱：</w:t>
      </w:r>
      <w:r>
        <w:fldChar w:fldCharType="begin"/>
      </w:r>
      <w:r>
        <w:instrText xml:space="preserve"> HYPERLINK "mailto:tyjr8028600@zz.shandong.cn" </w:instrText>
      </w:r>
      <w:r>
        <w:fldChar w:fldCharType="separate"/>
      </w:r>
      <w:r>
        <w:rPr>
          <w:rStyle w:val="8"/>
          <w:rFonts w:hint="eastAsia" w:ascii="仿宋_GB2312" w:hAnsi="仿宋_GB2312" w:eastAsia="仿宋_GB2312" w:cs="仿宋_GB2312"/>
          <w:b/>
          <w:bCs/>
          <w:sz w:val="32"/>
          <w:szCs w:val="32"/>
        </w:rPr>
        <w:t>tyjr8028600@zz.shandong.cn</w:t>
      </w:r>
      <w:r>
        <w:rPr>
          <w:rStyle w:val="8"/>
          <w:rFonts w:hint="eastAsia" w:ascii="仿宋_GB2312" w:hAnsi="仿宋_GB2312" w:eastAsia="仿宋_GB2312" w:cs="仿宋_GB2312"/>
          <w:b/>
          <w:bCs/>
          <w:sz w:val="32"/>
          <w:szCs w:val="32"/>
        </w:rPr>
        <w:fldChar w:fldCharType="end"/>
      </w:r>
      <w:r>
        <w:rPr>
          <w:rFonts w:hint="eastAsia" w:ascii="仿宋" w:hAnsi="仿宋" w:eastAsia="仿宋" w:cs="Arial"/>
          <w:color w:val="000000"/>
          <w:kern w:val="0"/>
          <w:sz w:val="32"/>
          <w:szCs w:val="32"/>
        </w:rPr>
        <w:t>）</w:t>
      </w:r>
    </w:p>
    <w:p>
      <w:pPr>
        <w:widowControl/>
        <w:spacing w:before="100" w:beforeAutospacing="1" w:line="195" w:lineRule="atLeast"/>
        <w:ind w:firstLine="634"/>
        <w:jc w:val="left"/>
        <w:rPr>
          <w:rFonts w:ascii="Arial" w:hAnsi="Arial" w:eastAsia="宋体" w:cs="Arial"/>
          <w:color w:val="000000"/>
          <w:kern w:val="0"/>
          <w:sz w:val="20"/>
          <w:szCs w:val="20"/>
        </w:rPr>
      </w:pPr>
    </w:p>
    <w:p>
      <w:pPr>
        <w:widowControl/>
        <w:spacing w:before="100" w:beforeAutospacing="1" w:line="195" w:lineRule="atLeast"/>
        <w:ind w:firstLine="634"/>
        <w:jc w:val="left"/>
        <w:rPr>
          <w:rFonts w:ascii="Arial" w:hAnsi="Arial" w:eastAsia="宋体" w:cs="Arial"/>
          <w:color w:val="000000"/>
          <w:kern w:val="0"/>
          <w:sz w:val="20"/>
          <w:szCs w:val="20"/>
        </w:rPr>
      </w:pP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仿宋" w:hAnsi="仿宋" w:eastAsia="仿宋" w:cs="Arial"/>
          <w:color w:val="000000"/>
          <w:kern w:val="0"/>
          <w:sz w:val="32"/>
          <w:szCs w:val="32"/>
        </w:rPr>
        <w:t>　　　　　　　　　　滕州市退役军人事务局</w:t>
      </w:r>
    </w:p>
    <w:p>
      <w:pPr>
        <w:widowControl/>
        <w:spacing w:before="100" w:beforeAutospacing="1" w:line="720" w:lineRule="atLeast"/>
        <w:ind w:firstLine="634"/>
        <w:jc w:val="left"/>
        <w:rPr>
          <w:rFonts w:ascii="Arial" w:hAnsi="Arial" w:eastAsia="宋体" w:cs="Arial"/>
          <w:color w:val="000000"/>
          <w:kern w:val="0"/>
          <w:sz w:val="20"/>
          <w:szCs w:val="20"/>
        </w:rPr>
      </w:pPr>
      <w:r>
        <w:rPr>
          <w:rFonts w:hint="eastAsia" w:ascii="仿宋" w:hAnsi="仿宋" w:eastAsia="仿宋" w:cs="Arial"/>
          <w:color w:val="000000"/>
          <w:kern w:val="0"/>
          <w:sz w:val="32"/>
          <w:szCs w:val="32"/>
        </w:rPr>
        <w:t>　　　　　　　　　　　　　2021年1月29日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2D405C0-52B4-4DC0-B174-097FA51B3FB0}"/>
  </w:font>
  <w:font w:name="黑体">
    <w:panose1 w:val="02010609060101010101"/>
    <w:charset w:val="86"/>
    <w:family w:val="auto"/>
    <w:pitch w:val="default"/>
    <w:sig w:usb0="800002BF" w:usb1="38CF7CFA" w:usb2="00000016" w:usb3="00000000" w:csb0="00040001" w:csb1="00000000"/>
    <w:embedRegular r:id="rId2" w:fontKey="{6288FF88-0C36-44BC-B488-EB6881842F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C752236-2E7D-42F1-84A3-D376C9F3A82C}"/>
  </w:font>
  <w:font w:name="Arial">
    <w:panose1 w:val="020B0604020202020204"/>
    <w:charset w:val="00"/>
    <w:family w:val="swiss"/>
    <w:pitch w:val="default"/>
    <w:sig w:usb0="E0002EFF" w:usb1="C000785B" w:usb2="00000009" w:usb3="00000000" w:csb0="400001FF" w:csb1="FFFF0000"/>
    <w:embedRegular r:id="rId4" w:fontKey="{03502EA3-D025-4712-9CAD-96CE7D989ED9}"/>
  </w:font>
  <w:font w:name="仿宋">
    <w:panose1 w:val="02010609060101010101"/>
    <w:charset w:val="86"/>
    <w:family w:val="modern"/>
    <w:pitch w:val="default"/>
    <w:sig w:usb0="800002BF" w:usb1="38CF7CFA" w:usb2="00000016" w:usb3="00000000" w:csb0="00040001" w:csb1="00000000"/>
    <w:embedRegular r:id="rId5" w:fontKey="{07FA897B-5547-42BC-AD37-08BA04C495B6}"/>
  </w:font>
  <w:font w:name="楷体">
    <w:panose1 w:val="02010609060101010101"/>
    <w:charset w:val="86"/>
    <w:family w:val="modern"/>
    <w:pitch w:val="default"/>
    <w:sig w:usb0="800002BF" w:usb1="38CF7CFA" w:usb2="00000016" w:usb3="00000000" w:csb0="00040001" w:csb1="00000000"/>
    <w:embedRegular r:id="rId6" w:fontKey="{75EF29E1-1E6F-4659-85E4-6D02808B4353}"/>
  </w:font>
  <w:font w:name="仿宋_GB2312">
    <w:altName w:val="仿宋"/>
    <w:panose1 w:val="02010609030101010101"/>
    <w:charset w:val="86"/>
    <w:family w:val="modern"/>
    <w:pitch w:val="default"/>
    <w:sig w:usb0="00000000" w:usb1="00000000" w:usb2="00000010" w:usb3="00000000" w:csb0="00040000" w:csb1="00000000"/>
    <w:embedRegular r:id="rId7" w:fontKey="{C62DD7A9-D1E9-4C18-8D7F-1D3E367040C2}"/>
  </w:font>
  <w:font w:name="方正公文小标宋">
    <w:panose1 w:val="02000500000000000000"/>
    <w:charset w:val="86"/>
    <w:family w:val="auto"/>
    <w:pitch w:val="default"/>
    <w:sig w:usb0="A00002BF" w:usb1="38CF7CFA" w:usb2="00000016" w:usb3="00000000" w:csb0="00040001" w:csb1="00000000"/>
    <w:embedRegular r:id="rId8" w:fontKey="{4D35EAC8-CB3D-483F-9564-43B1B4FBBCD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74D43"/>
    <w:rsid w:val="002E4CCF"/>
    <w:rsid w:val="00377316"/>
    <w:rsid w:val="004F0E2A"/>
    <w:rsid w:val="00A53B40"/>
    <w:rsid w:val="00A74928"/>
    <w:rsid w:val="00A85943"/>
    <w:rsid w:val="00D85A75"/>
    <w:rsid w:val="00E74D43"/>
    <w:rsid w:val="662654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12"/>
    <w:semiHidden/>
    <w:unhideWhenUsed/>
    <w:uiPriority w:val="99"/>
    <w:pPr>
      <w:tabs>
        <w:tab w:val="center" w:pos="4153"/>
        <w:tab w:val="right" w:pos="8306"/>
      </w:tabs>
      <w:snapToGrid w:val="0"/>
      <w:jc w:val="left"/>
    </w:pPr>
    <w:rPr>
      <w:sz w:val="18"/>
      <w:szCs w:val="18"/>
    </w:rPr>
  </w:style>
  <w:style w:type="paragraph" w:styleId="4">
    <w:name w:val="header"/>
    <w:basedOn w:val="1"/>
    <w:link w:val="11"/>
    <w:semiHidden/>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unhideWhenUsed/>
    <w:uiPriority w:val="99"/>
    <w:rPr>
      <w:color w:val="0000FF" w:themeColor="hyperlink"/>
      <w:u w:val="single"/>
    </w:rPr>
  </w:style>
  <w:style w:type="paragraph" w:customStyle="1" w:styleId="9">
    <w:name w:val="western"/>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0">
    <w:name w:val="批注框文本 Char"/>
    <w:basedOn w:val="7"/>
    <w:link w:val="2"/>
    <w:semiHidden/>
    <w:uiPriority w:val="99"/>
    <w:rPr>
      <w:sz w:val="18"/>
      <w:szCs w:val="18"/>
    </w:rPr>
  </w:style>
  <w:style w:type="character" w:customStyle="1" w:styleId="11">
    <w:name w:val="页眉 Char"/>
    <w:basedOn w:val="7"/>
    <w:link w:val="4"/>
    <w:semiHidden/>
    <w:qFormat/>
    <w:uiPriority w:val="99"/>
    <w:rPr>
      <w:sz w:val="18"/>
      <w:szCs w:val="18"/>
    </w:rPr>
  </w:style>
  <w:style w:type="character" w:customStyle="1" w:styleId="12">
    <w:name w:val="页脚 Char"/>
    <w:basedOn w:val="7"/>
    <w:link w:val="3"/>
    <w:semiHidden/>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2901</Words>
  <Characters>3027</Characters>
  <Lines>24</Lines>
  <Paragraphs>7</Paragraphs>
  <TotalTime>6</TotalTime>
  <ScaleCrop>false</ScaleCrop>
  <LinksUpToDate>false</LinksUpToDate>
  <CharactersWithSpaces>3050</CharactersWithSpaces>
  <Application>WPS Office_11.1.0.10214_F1E327BC-269C-435d-A152-05C5408002CA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2021-05-27T08:26:00Z</dcterms:created>
  <dc:creator>tengzhou</dc:creator>
  <cp:lastModifiedBy>ら.知道分子</cp:lastModifiedBy>
  <dcterms:modified xsi:type="dcterms:W3CDTF">2021-05-28T01:02:39Z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2052-11.1.0.10214</vt:lpwstr>
  </property>
</Properties>
</file>